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CAB0F" w14:textId="1F6EA9B5" w:rsidR="0083575C" w:rsidRPr="00991875" w:rsidRDefault="002909BE">
      <w:pPr>
        <w:rPr>
          <w:rStyle w:val="Emphasis"/>
          <w:rFonts w:ascii="Times New Roman" w:eastAsia="Times New Roman" w:hAnsi="Times New Roman" w:cs="Times New Roman"/>
          <w:b/>
          <w:sz w:val="24"/>
          <w:szCs w:val="24"/>
        </w:rPr>
      </w:pPr>
      <w:bookmarkStart w:id="0" w:name="_GoBack"/>
      <w:bookmarkEnd w:id="0"/>
      <w:r w:rsidRPr="00991875">
        <w:rPr>
          <w:rFonts w:ascii="Times New Roman" w:hAnsi="Times New Roman" w:cs="Times New Roman"/>
          <w:b/>
          <w:sz w:val="24"/>
          <w:szCs w:val="24"/>
        </w:rPr>
        <w:t>FINAL – submitted June 8, 2015 via the USGCRP Review and Comment System</w:t>
      </w:r>
      <w:r w:rsidR="0083575C" w:rsidRPr="00991875">
        <w:rPr>
          <w:rFonts w:ascii="Times New Roman" w:hAnsi="Times New Roman" w:cs="Times New Roman"/>
          <w:b/>
          <w:sz w:val="24"/>
          <w:szCs w:val="24"/>
        </w:rPr>
        <w:br/>
      </w:r>
      <w:r w:rsidR="0083575C" w:rsidRPr="00991875">
        <w:rPr>
          <w:rFonts w:ascii="Times New Roman" w:hAnsi="Times New Roman" w:cs="Times New Roman"/>
          <w:b/>
          <w:i/>
          <w:sz w:val="24"/>
          <w:szCs w:val="24"/>
        </w:rPr>
        <w:t xml:space="preserve">AMWA Comments on </w:t>
      </w:r>
      <w:r w:rsidRPr="00991875">
        <w:rPr>
          <w:rFonts w:ascii="Times New Roman" w:hAnsi="Times New Roman" w:cs="Times New Roman"/>
          <w:b/>
          <w:i/>
          <w:sz w:val="24"/>
          <w:szCs w:val="24"/>
        </w:rPr>
        <w:t xml:space="preserve">the </w:t>
      </w:r>
      <w:r w:rsidR="0083575C" w:rsidRPr="00991875">
        <w:rPr>
          <w:rFonts w:ascii="Times New Roman" w:hAnsi="Times New Roman" w:cs="Times New Roman"/>
          <w:b/>
          <w:i/>
          <w:sz w:val="24"/>
          <w:szCs w:val="24"/>
        </w:rPr>
        <w:t>draft USGCRP Report, “</w:t>
      </w:r>
      <w:r w:rsidR="0083575C" w:rsidRPr="00991875">
        <w:rPr>
          <w:rStyle w:val="Emphasis"/>
          <w:rFonts w:ascii="Times New Roman" w:eastAsia="Times New Roman" w:hAnsi="Times New Roman" w:cs="Times New Roman"/>
          <w:b/>
          <w:sz w:val="24"/>
          <w:szCs w:val="24"/>
        </w:rPr>
        <w:t xml:space="preserve">The Impacts of Climate Change on Human Health in the United States: A Scientific Assessment” available at </w:t>
      </w:r>
      <w:hyperlink r:id="rId8" w:history="1">
        <w:r w:rsidR="0083575C" w:rsidRPr="00991875">
          <w:rPr>
            <w:rStyle w:val="Hyperlink"/>
            <w:rFonts w:ascii="Times New Roman" w:eastAsia="Times New Roman" w:hAnsi="Times New Roman" w:cs="Times New Roman"/>
            <w:b/>
            <w:i/>
            <w:sz w:val="24"/>
            <w:szCs w:val="24"/>
          </w:rPr>
          <w:t>http://www.globalchange.gov/health-assessment</w:t>
        </w:r>
      </w:hyperlink>
    </w:p>
    <w:p w14:paraId="6C13CE79" w14:textId="5B4D2CAC" w:rsidR="0083575C" w:rsidRPr="0083575C" w:rsidRDefault="0083575C">
      <w:pPr>
        <w:rPr>
          <w:rFonts w:ascii="Times New Roman" w:hAnsi="Times New Roman" w:cs="Times New Roman"/>
          <w:i/>
          <w:sz w:val="24"/>
          <w:szCs w:val="24"/>
        </w:rPr>
      </w:pPr>
      <w:r w:rsidRPr="0083575C">
        <w:rPr>
          <w:rStyle w:val="Emphasis"/>
          <w:rFonts w:ascii="Times New Roman" w:eastAsia="Times New Roman" w:hAnsi="Times New Roman" w:cs="Times New Roman"/>
          <w:sz w:val="24"/>
          <w:szCs w:val="24"/>
        </w:rPr>
        <w:t xml:space="preserve">Note: Comments </w:t>
      </w:r>
      <w:r w:rsidR="002909BE">
        <w:rPr>
          <w:rStyle w:val="Emphasis"/>
          <w:rFonts w:ascii="Times New Roman" w:eastAsia="Times New Roman" w:hAnsi="Times New Roman" w:cs="Times New Roman"/>
          <w:sz w:val="24"/>
          <w:szCs w:val="24"/>
        </w:rPr>
        <w:t>were required to be</w:t>
      </w:r>
      <w:r w:rsidRPr="0083575C">
        <w:rPr>
          <w:rStyle w:val="Emphasis"/>
          <w:rFonts w:ascii="Times New Roman" w:eastAsia="Times New Roman" w:hAnsi="Times New Roman" w:cs="Times New Roman"/>
          <w:sz w:val="24"/>
          <w:szCs w:val="24"/>
        </w:rPr>
        <w:t xml:space="preserve"> submitted in a comment response system that requires categorization, i.e.: Whole document, whole chapter,</w:t>
      </w:r>
      <w:r w:rsidR="00784460" w:rsidRPr="0083575C">
        <w:rPr>
          <w:rFonts w:ascii="Times New Roman" w:hAnsi="Times New Roman" w:cs="Times New Roman"/>
          <w:i/>
          <w:sz w:val="24"/>
          <w:szCs w:val="24"/>
        </w:rPr>
        <w:t xml:space="preserve"> whole page, text region, figure.</w:t>
      </w:r>
      <w:r w:rsidRPr="0083575C">
        <w:rPr>
          <w:rFonts w:ascii="Times New Roman" w:hAnsi="Times New Roman" w:cs="Times New Roman"/>
          <w:i/>
          <w:sz w:val="24"/>
          <w:szCs w:val="24"/>
        </w:rPr>
        <w:t xml:space="preserve"> AMWA’s comments are </w:t>
      </w:r>
      <w:r w:rsidR="002909BE">
        <w:rPr>
          <w:rFonts w:ascii="Times New Roman" w:hAnsi="Times New Roman" w:cs="Times New Roman"/>
          <w:i/>
          <w:sz w:val="24"/>
          <w:szCs w:val="24"/>
        </w:rPr>
        <w:t xml:space="preserve">therefore </w:t>
      </w:r>
      <w:r w:rsidRPr="0083575C">
        <w:rPr>
          <w:rFonts w:ascii="Times New Roman" w:hAnsi="Times New Roman" w:cs="Times New Roman"/>
          <w:i/>
          <w:sz w:val="24"/>
          <w:szCs w:val="24"/>
        </w:rPr>
        <w:t>organized in this way.</w:t>
      </w:r>
    </w:p>
    <w:p w14:paraId="01A02162" w14:textId="60C249B4" w:rsidR="006606DC" w:rsidRDefault="00784460" w:rsidP="1061BFC9">
      <w:pPr>
        <w:pStyle w:val="NoSpacing"/>
        <w:spacing w:line="276" w:lineRule="auto"/>
        <w:rPr>
          <w:rFonts w:eastAsiaTheme="minorEastAsia"/>
          <w:sz w:val="24"/>
          <w:szCs w:val="24"/>
        </w:rPr>
      </w:pPr>
      <w:r w:rsidRPr="001C7616">
        <w:rPr>
          <w:rFonts w:ascii="Times New Roman" w:eastAsia="Times New Roman" w:hAnsi="Times New Roman" w:cs="Times New Roman"/>
          <w:sz w:val="24"/>
          <w:szCs w:val="24"/>
          <w:u w:val="single"/>
        </w:rPr>
        <w:t>Whole Document Comments</w:t>
      </w:r>
      <w:r w:rsidRPr="001C7616">
        <w:rPr>
          <w:rFonts w:ascii="Times New Roman" w:eastAsia="Times New Roman" w:hAnsi="Times New Roman" w:cs="Times New Roman"/>
          <w:sz w:val="24"/>
          <w:szCs w:val="24"/>
        </w:rPr>
        <w:t>:</w:t>
      </w:r>
    </w:p>
    <w:p w14:paraId="2242101B" w14:textId="297A8101" w:rsidR="41871DDF" w:rsidRDefault="41871DDF" w:rsidP="001C7616">
      <w:pPr>
        <w:pStyle w:val="NoSpacing"/>
        <w:numPr>
          <w:ilvl w:val="0"/>
          <w:numId w:val="1"/>
        </w:numPr>
        <w:spacing w:line="276" w:lineRule="auto"/>
        <w:rPr>
          <w:rFonts w:eastAsiaTheme="minorEastAsia"/>
          <w:sz w:val="24"/>
          <w:szCs w:val="24"/>
        </w:rPr>
      </w:pPr>
      <w:r w:rsidRPr="001C7616">
        <w:rPr>
          <w:rFonts w:ascii="Times New Roman" w:eastAsia="Times New Roman" w:hAnsi="Times New Roman" w:cs="Times New Roman"/>
          <w:sz w:val="24"/>
          <w:szCs w:val="24"/>
        </w:rPr>
        <w:t xml:space="preserve">Under non-climate stressors-is listed “ecosystem degradation” </w:t>
      </w:r>
      <w:r w:rsidR="002702D4" w:rsidRPr="001C7616">
        <w:rPr>
          <w:rFonts w:ascii="Times New Roman" w:eastAsia="Times New Roman" w:hAnsi="Times New Roman" w:cs="Times New Roman"/>
          <w:sz w:val="24"/>
          <w:szCs w:val="24"/>
        </w:rPr>
        <w:t>which the</w:t>
      </w:r>
      <w:r w:rsidRPr="001C7616">
        <w:rPr>
          <w:rFonts w:ascii="Times New Roman" w:eastAsia="Times New Roman" w:hAnsi="Times New Roman" w:cs="Times New Roman"/>
          <w:sz w:val="24"/>
          <w:szCs w:val="24"/>
        </w:rPr>
        <w:t xml:space="preserve"> report points out may be positive or negative.  Therefore suggest changing “ecosystem degradation” to “ecosystem change”</w:t>
      </w:r>
      <w:r w:rsidR="0083575C">
        <w:rPr>
          <w:rFonts w:ascii="Times New Roman" w:eastAsia="Times New Roman" w:hAnsi="Times New Roman" w:cs="Times New Roman"/>
          <w:sz w:val="24"/>
          <w:szCs w:val="24"/>
        </w:rPr>
        <w:t xml:space="preserve"> throughout the document.</w:t>
      </w:r>
    </w:p>
    <w:p w14:paraId="16A91889" w14:textId="4DF88B03" w:rsidR="00764DC9" w:rsidRPr="008A19B6" w:rsidDel="7E6EDC50" w:rsidRDefault="41098A56" w:rsidP="008A19B6">
      <w:pPr>
        <w:pStyle w:val="NoSpacing"/>
        <w:numPr>
          <w:ilvl w:val="0"/>
          <w:numId w:val="4"/>
        </w:numPr>
        <w:spacing w:line="276" w:lineRule="auto"/>
        <w:rPr>
          <w:rFonts w:eastAsiaTheme="minorEastAsia"/>
          <w:sz w:val="24"/>
          <w:szCs w:val="24"/>
        </w:rPr>
      </w:pPr>
      <w:r w:rsidRPr="001C7616">
        <w:rPr>
          <w:rFonts w:ascii="Times New Roman" w:eastAsia="Times New Roman" w:hAnsi="Times New Roman" w:cs="Times New Roman"/>
          <w:sz w:val="24"/>
          <w:szCs w:val="24"/>
        </w:rPr>
        <w:t xml:space="preserve">The document should represent an unbiased assessment of the relationship between climate and health, </w:t>
      </w:r>
      <w:r w:rsidR="0083575C">
        <w:rPr>
          <w:rFonts w:ascii="Times New Roman" w:eastAsia="Times New Roman" w:hAnsi="Times New Roman" w:cs="Times New Roman"/>
          <w:sz w:val="24"/>
          <w:szCs w:val="24"/>
        </w:rPr>
        <w:t>in such as way so as not to overstate the risk that is</w:t>
      </w:r>
      <w:r w:rsidR="008A19B6">
        <w:rPr>
          <w:rFonts w:ascii="Times New Roman" w:eastAsia="Times New Roman" w:hAnsi="Times New Roman" w:cs="Times New Roman"/>
          <w:sz w:val="24"/>
          <w:szCs w:val="24"/>
        </w:rPr>
        <w:t xml:space="preserve"> described in the reports and underlying data. </w:t>
      </w:r>
      <w:r w:rsidRPr="008A19B6">
        <w:rPr>
          <w:rFonts w:ascii="Times New Roman" w:eastAsia="Times New Roman" w:hAnsi="Times New Roman" w:cs="Times New Roman"/>
          <w:sz w:val="24"/>
          <w:szCs w:val="24"/>
        </w:rPr>
        <w:t xml:space="preserve"> For example, </w:t>
      </w:r>
    </w:p>
    <w:p w14:paraId="4CA2DEB8" w14:textId="3B3B9768" w:rsidR="00764DC9" w:rsidDel="7E6EDC50" w:rsidRDefault="00764DC9" w:rsidP="001C7616">
      <w:pPr>
        <w:pStyle w:val="NoSpacing"/>
        <w:spacing w:line="276" w:lineRule="auto"/>
        <w:ind w:left="720"/>
      </w:pPr>
    </w:p>
    <w:p w14:paraId="2E7CD844" w14:textId="5BB3C06E" w:rsidR="00764DC9" w:rsidDel="7E6EDC50" w:rsidRDefault="41098A56" w:rsidP="008A19B6">
      <w:pPr>
        <w:pStyle w:val="NoSpacing"/>
        <w:spacing w:line="276" w:lineRule="auto"/>
        <w:ind w:left="720"/>
      </w:pPr>
      <w:r w:rsidRPr="001C7616">
        <w:rPr>
          <w:rFonts w:ascii="Times New Roman" w:eastAsia="Times New Roman" w:hAnsi="Times New Roman" w:cs="Times New Roman"/>
          <w:sz w:val="24"/>
          <w:szCs w:val="24"/>
        </w:rPr>
        <w:t xml:space="preserve">ES -Page 2-line 1-“Climate change is a </w:t>
      </w:r>
      <w:r w:rsidRPr="001C7616">
        <w:rPr>
          <w:rFonts w:ascii="Times New Roman" w:eastAsia="Times New Roman" w:hAnsi="Times New Roman" w:cs="Times New Roman"/>
          <w:sz w:val="24"/>
          <w:szCs w:val="24"/>
          <w:u w:val="single"/>
        </w:rPr>
        <w:t>significant</w:t>
      </w:r>
      <w:r w:rsidRPr="001C7616">
        <w:rPr>
          <w:rFonts w:ascii="Times New Roman" w:eastAsia="Times New Roman" w:hAnsi="Times New Roman" w:cs="Times New Roman"/>
          <w:sz w:val="24"/>
          <w:szCs w:val="24"/>
        </w:rPr>
        <w:t xml:space="preserve"> threat to the</w:t>
      </w:r>
      <w:r w:rsidR="008A19B6">
        <w:rPr>
          <w:rFonts w:ascii="Times New Roman" w:eastAsia="Times New Roman" w:hAnsi="Times New Roman" w:cs="Times New Roman"/>
          <w:sz w:val="24"/>
          <w:szCs w:val="24"/>
        </w:rPr>
        <w:t xml:space="preserve"> health of the American people…</w:t>
      </w:r>
      <w:r w:rsidR="002702D4" w:rsidRPr="001C7616">
        <w:rPr>
          <w:rFonts w:ascii="Times New Roman" w:eastAsia="Times New Roman" w:hAnsi="Times New Roman" w:cs="Times New Roman"/>
          <w:sz w:val="24"/>
          <w:szCs w:val="24"/>
        </w:rPr>
        <w:t xml:space="preserve">” </w:t>
      </w:r>
      <w:r w:rsidRPr="001C7616">
        <w:rPr>
          <w:rFonts w:ascii="Times New Roman" w:eastAsia="Times New Roman" w:hAnsi="Times New Roman" w:cs="Times New Roman"/>
          <w:sz w:val="24"/>
          <w:szCs w:val="24"/>
        </w:rPr>
        <w:t xml:space="preserve">This is stated in a way that better represents the uncertainty </w:t>
      </w:r>
      <w:r w:rsidR="008A19B6">
        <w:rPr>
          <w:rFonts w:ascii="Times New Roman" w:eastAsia="Times New Roman" w:hAnsi="Times New Roman" w:cs="Times New Roman"/>
          <w:sz w:val="24"/>
          <w:szCs w:val="24"/>
        </w:rPr>
        <w:t xml:space="preserve">described throughout the report </w:t>
      </w:r>
      <w:r w:rsidRPr="001C7616">
        <w:rPr>
          <w:rFonts w:ascii="Times New Roman" w:eastAsia="Times New Roman" w:hAnsi="Times New Roman" w:cs="Times New Roman"/>
          <w:sz w:val="24"/>
          <w:szCs w:val="24"/>
        </w:rPr>
        <w:t>in s</w:t>
      </w:r>
      <w:r w:rsidR="008A19B6">
        <w:rPr>
          <w:rFonts w:ascii="Times New Roman" w:eastAsia="Times New Roman" w:hAnsi="Times New Roman" w:cs="Times New Roman"/>
          <w:sz w:val="24"/>
          <w:szCs w:val="24"/>
        </w:rPr>
        <w:t>ection 1.4.2  (Page 23-line 1):  “C</w:t>
      </w:r>
      <w:r w:rsidRPr="001C7616">
        <w:rPr>
          <w:rFonts w:ascii="Times New Roman" w:eastAsia="Times New Roman" w:hAnsi="Times New Roman" w:cs="Times New Roman"/>
          <w:sz w:val="24"/>
          <w:szCs w:val="24"/>
        </w:rPr>
        <w:t xml:space="preserve">limate change threatens human health and well-being in the U.S.”   This report does not define what is meant by “significant” and whether that is attributable to climate change, or just your everyday climate events.   </w:t>
      </w:r>
    </w:p>
    <w:p w14:paraId="32153933" w14:textId="17CB374E" w:rsidR="00764DC9" w:rsidDel="7E6EDC50" w:rsidRDefault="41098A56" w:rsidP="71FA67A9">
      <w:pPr>
        <w:pStyle w:val="NoSpacing"/>
        <w:numPr>
          <w:ilvl w:val="0"/>
          <w:numId w:val="4"/>
        </w:numPr>
        <w:spacing w:line="276" w:lineRule="auto"/>
        <w:rPr>
          <w:rFonts w:eastAsiaTheme="minorEastAsia"/>
          <w:sz w:val="24"/>
          <w:szCs w:val="24"/>
        </w:rPr>
      </w:pPr>
      <w:r w:rsidRPr="001C7616">
        <w:rPr>
          <w:rFonts w:ascii="Times New Roman" w:eastAsia="Times New Roman" w:hAnsi="Times New Roman" w:cs="Times New Roman"/>
          <w:sz w:val="24"/>
          <w:szCs w:val="24"/>
        </w:rPr>
        <w:t>Each chapter has a paragraph on “traceable a</w:t>
      </w:r>
      <w:r w:rsidR="007A6C88">
        <w:rPr>
          <w:rFonts w:ascii="Times New Roman" w:eastAsia="Times New Roman" w:hAnsi="Times New Roman" w:cs="Times New Roman"/>
          <w:sz w:val="24"/>
          <w:szCs w:val="24"/>
        </w:rPr>
        <w:t>cc</w:t>
      </w:r>
      <w:r w:rsidRPr="001C7616">
        <w:rPr>
          <w:rFonts w:ascii="Times New Roman" w:eastAsia="Times New Roman" w:hAnsi="Times New Roman" w:cs="Times New Roman"/>
          <w:sz w:val="24"/>
          <w:szCs w:val="24"/>
        </w:rPr>
        <w:t>ounts”.   Th</w:t>
      </w:r>
      <w:r w:rsidR="007A6C88">
        <w:rPr>
          <w:rFonts w:ascii="Times New Roman" w:eastAsia="Times New Roman" w:hAnsi="Times New Roman" w:cs="Times New Roman"/>
          <w:sz w:val="24"/>
          <w:szCs w:val="24"/>
        </w:rPr>
        <w:t>is</w:t>
      </w:r>
      <w:r w:rsidRPr="001C7616">
        <w:rPr>
          <w:rFonts w:ascii="Times New Roman" w:eastAsia="Times New Roman" w:hAnsi="Times New Roman" w:cs="Times New Roman"/>
          <w:sz w:val="24"/>
          <w:szCs w:val="24"/>
        </w:rPr>
        <w:t xml:space="preserve"> term should be explained further</w:t>
      </w:r>
      <w:r w:rsidR="71FA67A9" w:rsidRPr="001C7616">
        <w:rPr>
          <w:rFonts w:ascii="Times New Roman" w:eastAsia="Times New Roman" w:hAnsi="Times New Roman" w:cs="Times New Roman"/>
          <w:sz w:val="24"/>
          <w:szCs w:val="24"/>
        </w:rPr>
        <w:t xml:space="preserve"> throughout the document</w:t>
      </w:r>
      <w:r w:rsidRPr="001C7616">
        <w:rPr>
          <w:rFonts w:ascii="Times New Roman" w:eastAsia="Times New Roman" w:hAnsi="Times New Roman" w:cs="Times New Roman"/>
          <w:sz w:val="24"/>
          <w:szCs w:val="24"/>
        </w:rPr>
        <w:t xml:space="preserve">.  </w:t>
      </w:r>
    </w:p>
    <w:p w14:paraId="187C9AAC" w14:textId="1D078975" w:rsidR="71FA67A9" w:rsidRPr="001C7616" w:rsidRDefault="001C7616" w:rsidP="001C7616">
      <w:pPr>
        <w:pStyle w:val="NoSpacing"/>
        <w:numPr>
          <w:ilvl w:val="0"/>
          <w:numId w:val="4"/>
        </w:numPr>
        <w:spacing w:line="276" w:lineRule="auto"/>
        <w:rPr>
          <w:rFonts w:eastAsiaTheme="minorEastAsia"/>
          <w:sz w:val="24"/>
          <w:szCs w:val="24"/>
        </w:rPr>
      </w:pPr>
      <w:r>
        <w:rPr>
          <w:rFonts w:ascii="Times New Roman" w:eastAsia="Times New Roman" w:hAnsi="Times New Roman" w:cs="Times New Roman"/>
          <w:sz w:val="24"/>
          <w:szCs w:val="24"/>
        </w:rPr>
        <w:t>Overall</w:t>
      </w:r>
      <w:r w:rsidR="71FA67A9" w:rsidRPr="001C7616">
        <w:rPr>
          <w:rFonts w:ascii="Times New Roman" w:eastAsia="Times New Roman" w:hAnsi="Times New Roman" w:cs="Times New Roman"/>
          <w:sz w:val="24"/>
          <w:szCs w:val="24"/>
        </w:rPr>
        <w:t xml:space="preserve">, while the report covers a broad range of relationships, the only relationships that can be drawn with </w:t>
      </w:r>
      <w:r w:rsidR="007A6C88">
        <w:rPr>
          <w:rFonts w:ascii="Times New Roman" w:eastAsia="Times New Roman" w:hAnsi="Times New Roman" w:cs="Times New Roman"/>
          <w:sz w:val="24"/>
          <w:szCs w:val="24"/>
        </w:rPr>
        <w:t xml:space="preserve">more than a medium </w:t>
      </w:r>
      <w:r w:rsidR="71FA67A9" w:rsidRPr="001C7616">
        <w:rPr>
          <w:rFonts w:ascii="Times New Roman" w:eastAsia="Times New Roman" w:hAnsi="Times New Roman" w:cs="Times New Roman"/>
          <w:sz w:val="24"/>
          <w:szCs w:val="24"/>
        </w:rPr>
        <w:t>confidence between climate change and public health appears to be increases</w:t>
      </w:r>
      <w:r w:rsidR="008A19B6">
        <w:rPr>
          <w:rFonts w:ascii="Times New Roman" w:eastAsia="Times New Roman" w:hAnsi="Times New Roman" w:cs="Times New Roman"/>
          <w:sz w:val="24"/>
          <w:szCs w:val="24"/>
        </w:rPr>
        <w:t xml:space="preserve"> in risk due to: </w:t>
      </w:r>
      <w:r w:rsidR="71FA67A9" w:rsidRPr="001C7616">
        <w:rPr>
          <w:rFonts w:ascii="Times New Roman" w:eastAsia="Times New Roman" w:hAnsi="Times New Roman" w:cs="Times New Roman"/>
          <w:sz w:val="24"/>
          <w:szCs w:val="24"/>
        </w:rPr>
        <w:t>thermal stress, elevated ozone, and impacts of flooding, extreme weather and other physical stressors-that occur</w:t>
      </w:r>
      <w:r w:rsidR="008A19B6">
        <w:rPr>
          <w:rFonts w:ascii="Times New Roman" w:eastAsia="Times New Roman" w:hAnsi="Times New Roman" w:cs="Times New Roman"/>
          <w:sz w:val="24"/>
          <w:szCs w:val="24"/>
        </w:rPr>
        <w:t xml:space="preserve"> both</w:t>
      </w:r>
      <w:r w:rsidR="71FA67A9" w:rsidRPr="001C7616">
        <w:rPr>
          <w:rFonts w:ascii="Times New Roman" w:eastAsia="Times New Roman" w:hAnsi="Times New Roman" w:cs="Times New Roman"/>
          <w:sz w:val="24"/>
          <w:szCs w:val="24"/>
        </w:rPr>
        <w:t xml:space="preserve"> naturally and randomly, but which may be exacerbated by climate change</w:t>
      </w:r>
      <w:r>
        <w:rPr>
          <w:rFonts w:ascii="Times New Roman" w:eastAsia="Times New Roman" w:hAnsi="Times New Roman" w:cs="Times New Roman"/>
          <w:sz w:val="24"/>
          <w:szCs w:val="24"/>
        </w:rPr>
        <w:t xml:space="preserve">. Suggest that the report indicate this </w:t>
      </w:r>
      <w:r w:rsidR="71FA67A9" w:rsidRPr="001C7616">
        <w:rPr>
          <w:rFonts w:ascii="Times New Roman" w:eastAsia="Times New Roman" w:hAnsi="Times New Roman" w:cs="Times New Roman"/>
          <w:sz w:val="24"/>
          <w:szCs w:val="24"/>
        </w:rPr>
        <w:t>upfront, in plain language.</w:t>
      </w:r>
    </w:p>
    <w:p w14:paraId="5A7FE898" w14:textId="19EA173A" w:rsidR="001C7616" w:rsidRPr="001C7616" w:rsidRDefault="008A19B6" w:rsidP="001C7616">
      <w:pPr>
        <w:pStyle w:val="NoSpacing"/>
        <w:numPr>
          <w:ilvl w:val="0"/>
          <w:numId w:val="4"/>
        </w:numPr>
        <w:spacing w:line="276" w:lineRule="auto"/>
        <w:rPr>
          <w:rFonts w:eastAsiaTheme="minorEastAsia"/>
          <w:sz w:val="24"/>
          <w:szCs w:val="24"/>
        </w:rPr>
      </w:pPr>
      <w:r>
        <w:rPr>
          <w:rFonts w:ascii="Times New Roman" w:hAnsi="Times New Roman" w:cs="Times New Roman"/>
          <w:sz w:val="24"/>
          <w:szCs w:val="24"/>
        </w:rPr>
        <w:t>(</w:t>
      </w:r>
      <w:r w:rsidR="002702D4">
        <w:rPr>
          <w:rFonts w:ascii="Times New Roman" w:hAnsi="Times New Roman" w:cs="Times New Roman"/>
          <w:sz w:val="24"/>
          <w:szCs w:val="24"/>
        </w:rPr>
        <w:t>Also</w:t>
      </w:r>
      <w:r>
        <w:rPr>
          <w:rFonts w:ascii="Times New Roman" w:hAnsi="Times New Roman" w:cs="Times New Roman"/>
          <w:sz w:val="24"/>
          <w:szCs w:val="24"/>
        </w:rPr>
        <w:t xml:space="preserve"> Chapter 2) </w:t>
      </w:r>
      <w:r w:rsidR="001C7616" w:rsidRPr="001C7616">
        <w:rPr>
          <w:rFonts w:ascii="Times New Roman" w:hAnsi="Times New Roman" w:cs="Times New Roman"/>
          <w:sz w:val="24"/>
          <w:szCs w:val="24"/>
        </w:rPr>
        <w:t xml:space="preserve">The report lacks important information to help the reader assess the strength or weaknesses in the qualitative assessment of the uncertainty and likelihood of each of the key findings.   Additionally, some of the assessments seem at odds or seemingly contradict the discussion in the text.  For example, </w:t>
      </w:r>
      <w:r>
        <w:rPr>
          <w:rFonts w:ascii="Times New Roman" w:hAnsi="Times New Roman" w:cs="Times New Roman"/>
          <w:sz w:val="24"/>
          <w:szCs w:val="24"/>
        </w:rPr>
        <w:t xml:space="preserve">Key Finding 1, on Page 51 notes that </w:t>
      </w:r>
      <w:r w:rsidR="001C7616" w:rsidRPr="001C7616">
        <w:rPr>
          <w:rFonts w:ascii="Times New Roman" w:hAnsi="Times New Roman" w:cs="Times New Roman"/>
          <w:sz w:val="24"/>
          <w:szCs w:val="24"/>
        </w:rPr>
        <w:t xml:space="preserve">the potential for additional deaths due to heat in summer is “very likely, high confidence”; while the deaths from cold ranked as “very likely, medium confidence”, </w:t>
      </w:r>
      <w:r>
        <w:rPr>
          <w:rFonts w:ascii="Times New Roman" w:hAnsi="Times New Roman" w:cs="Times New Roman"/>
          <w:sz w:val="24"/>
          <w:szCs w:val="24"/>
        </w:rPr>
        <w:t>yet</w:t>
      </w:r>
      <w:r w:rsidR="001C7616" w:rsidRPr="001C7616">
        <w:rPr>
          <w:rFonts w:ascii="Times New Roman" w:hAnsi="Times New Roman" w:cs="Times New Roman"/>
          <w:sz w:val="24"/>
          <w:szCs w:val="24"/>
        </w:rPr>
        <w:t xml:space="preserve"> the deaths projected to be smaller due to cold than heat listed as “likely, medium confidence”. </w:t>
      </w:r>
      <w:r>
        <w:rPr>
          <w:rFonts w:ascii="Times New Roman" w:hAnsi="Times New Roman" w:cs="Times New Roman"/>
          <w:sz w:val="24"/>
          <w:szCs w:val="24"/>
        </w:rPr>
        <w:t>Why is this the case?</w:t>
      </w:r>
      <w:r w:rsidR="001C7616" w:rsidRPr="001C7616">
        <w:rPr>
          <w:rFonts w:ascii="Times New Roman" w:hAnsi="Times New Roman" w:cs="Times New Roman"/>
          <w:sz w:val="24"/>
          <w:szCs w:val="24"/>
        </w:rPr>
        <w:t xml:space="preserve">  Some of the rationale is explained in the text, but since the net increase is attributable to </w:t>
      </w:r>
      <w:r>
        <w:rPr>
          <w:rFonts w:ascii="Times New Roman" w:hAnsi="Times New Roman" w:cs="Times New Roman"/>
          <w:sz w:val="24"/>
          <w:szCs w:val="24"/>
        </w:rPr>
        <w:t xml:space="preserve">one study-the rationale for this quantification </w:t>
      </w:r>
      <w:r w:rsidR="001C7616" w:rsidRPr="001C7616">
        <w:rPr>
          <w:rFonts w:ascii="Times New Roman" w:hAnsi="Times New Roman" w:cs="Times New Roman"/>
          <w:sz w:val="24"/>
          <w:szCs w:val="24"/>
        </w:rPr>
        <w:t xml:space="preserve">is unclear.   </w:t>
      </w:r>
    </w:p>
    <w:p w14:paraId="0A8CE6D3" w14:textId="3AB79CEC" w:rsidR="001C7616" w:rsidRDefault="00C62ABA" w:rsidP="007A6C88">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The report n</w:t>
      </w:r>
      <w:r w:rsidR="007A6C88" w:rsidRPr="001C7616">
        <w:rPr>
          <w:rFonts w:ascii="Times New Roman" w:hAnsi="Times New Roman" w:cs="Times New Roman"/>
          <w:sz w:val="24"/>
          <w:szCs w:val="24"/>
        </w:rPr>
        <w:t>ote</w:t>
      </w:r>
      <w:r>
        <w:rPr>
          <w:rFonts w:ascii="Times New Roman" w:hAnsi="Times New Roman" w:cs="Times New Roman"/>
          <w:sz w:val="24"/>
          <w:szCs w:val="24"/>
        </w:rPr>
        <w:t>s</w:t>
      </w:r>
      <w:r w:rsidR="007A6C88" w:rsidRPr="001C7616">
        <w:rPr>
          <w:rFonts w:ascii="Times New Roman" w:hAnsi="Times New Roman" w:cs="Times New Roman"/>
          <w:sz w:val="24"/>
          <w:szCs w:val="24"/>
        </w:rPr>
        <w:t xml:space="preserve"> that likelihood is supposed to range from “unlikely to very likely”.  However, on page 123, line 15, the term “extremely likely” is used, calling into question how closely aligned the estimates of likelihood are to the scaling process. </w:t>
      </w:r>
    </w:p>
    <w:p w14:paraId="0B1282A4" w14:textId="77777777" w:rsidR="00710948" w:rsidRDefault="0082102C" w:rsidP="00710948">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We suggest that the information that ties infrastructure </w:t>
      </w:r>
      <w:r w:rsidR="00917ADD">
        <w:rPr>
          <w:rFonts w:ascii="Times New Roman" w:hAnsi="Times New Roman" w:cs="Times New Roman"/>
          <w:sz w:val="24"/>
          <w:szCs w:val="24"/>
        </w:rPr>
        <w:t xml:space="preserve">failure as a result of extreme events and the </w:t>
      </w:r>
      <w:r>
        <w:rPr>
          <w:rFonts w:ascii="Times New Roman" w:hAnsi="Times New Roman" w:cs="Times New Roman"/>
          <w:sz w:val="24"/>
          <w:szCs w:val="24"/>
        </w:rPr>
        <w:t>increase in public health risk be tied primarily to chapter 7, with a reference made to it in Chapter 5. Specifically,</w:t>
      </w:r>
      <w:r w:rsidR="00917ADD">
        <w:rPr>
          <w:rFonts w:ascii="Times New Roman" w:hAnsi="Times New Roman" w:cs="Times New Roman"/>
          <w:sz w:val="24"/>
          <w:szCs w:val="24"/>
        </w:rPr>
        <w:t xml:space="preserve"> in chapter 5</w:t>
      </w:r>
      <w:r>
        <w:rPr>
          <w:rFonts w:ascii="Times New Roman" w:hAnsi="Times New Roman" w:cs="Times New Roman"/>
          <w:sz w:val="24"/>
          <w:szCs w:val="24"/>
        </w:rPr>
        <w:t xml:space="preserve"> Key finding 3</w:t>
      </w:r>
      <w:r w:rsidR="00917ADD">
        <w:rPr>
          <w:rFonts w:ascii="Times New Roman" w:hAnsi="Times New Roman" w:cs="Times New Roman"/>
          <w:sz w:val="24"/>
          <w:szCs w:val="24"/>
        </w:rPr>
        <w:t xml:space="preserve"> about aging infrastructure and extreme events</w:t>
      </w:r>
      <w:r>
        <w:rPr>
          <w:rFonts w:ascii="Times New Roman" w:hAnsi="Times New Roman" w:cs="Times New Roman"/>
          <w:sz w:val="24"/>
          <w:szCs w:val="24"/>
        </w:rPr>
        <w:t xml:space="preserve"> should instead </w:t>
      </w:r>
      <w:r w:rsidR="00917ADD">
        <w:rPr>
          <w:rFonts w:ascii="Times New Roman" w:hAnsi="Times New Roman" w:cs="Times New Roman"/>
          <w:sz w:val="24"/>
          <w:szCs w:val="24"/>
        </w:rPr>
        <w:t>be listed in chapter 7. And</w:t>
      </w:r>
      <w:r>
        <w:rPr>
          <w:rFonts w:ascii="Times New Roman" w:hAnsi="Times New Roman" w:cs="Times New Roman"/>
          <w:sz w:val="24"/>
          <w:szCs w:val="24"/>
        </w:rPr>
        <w:t xml:space="preserve"> another finding noted in Chapter 5 should instead be elevated as a key finding, i.e.: “</w:t>
      </w:r>
      <w:r w:rsidR="00917ADD">
        <w:rPr>
          <w:rFonts w:ascii="Times New Roman" w:hAnsi="Times New Roman" w:cs="Times New Roman"/>
          <w:sz w:val="24"/>
          <w:szCs w:val="24"/>
        </w:rPr>
        <w:t>I</w:t>
      </w:r>
      <w:r w:rsidRPr="000C5653">
        <w:rPr>
          <w:rFonts w:ascii="Times New Roman" w:hAnsi="Times New Roman" w:cs="Times New Roman"/>
          <w:sz w:val="24"/>
          <w:szCs w:val="24"/>
        </w:rPr>
        <w:t>f drinking water is appropriately treated, climate change is not expected to increase the risk of contracting a water-related illness</w:t>
      </w:r>
      <w:r>
        <w:rPr>
          <w:rFonts w:ascii="Times New Roman" w:hAnsi="Times New Roman" w:cs="Times New Roman"/>
          <w:sz w:val="24"/>
          <w:szCs w:val="24"/>
        </w:rPr>
        <w:t xml:space="preserve">.” </w:t>
      </w:r>
      <w:r w:rsidR="00917ADD">
        <w:rPr>
          <w:rFonts w:ascii="Times New Roman" w:hAnsi="Times New Roman" w:cs="Times New Roman"/>
          <w:sz w:val="24"/>
          <w:szCs w:val="24"/>
        </w:rPr>
        <w:t xml:space="preserve"> This fact is important to point out in the discussion of the Walkerton outbreak because although the rainfall may have been a catalyst (and it’s not clear </w:t>
      </w:r>
      <w:r w:rsidR="00710948">
        <w:rPr>
          <w:rFonts w:ascii="Times New Roman" w:hAnsi="Times New Roman" w:cs="Times New Roman"/>
          <w:sz w:val="24"/>
          <w:szCs w:val="24"/>
        </w:rPr>
        <w:t xml:space="preserve">from the text </w:t>
      </w:r>
      <w:r w:rsidR="00917ADD">
        <w:rPr>
          <w:rFonts w:ascii="Times New Roman" w:hAnsi="Times New Roman" w:cs="Times New Roman"/>
          <w:sz w:val="24"/>
          <w:szCs w:val="24"/>
        </w:rPr>
        <w:t>that the rainfall event would be classified as “extreme”</w:t>
      </w:r>
      <w:r w:rsidR="00710948">
        <w:rPr>
          <w:rFonts w:ascii="Times New Roman" w:hAnsi="Times New Roman" w:cs="Times New Roman"/>
          <w:sz w:val="24"/>
          <w:szCs w:val="24"/>
        </w:rPr>
        <w:t>)</w:t>
      </w:r>
      <w:r w:rsidR="00917ADD">
        <w:rPr>
          <w:rFonts w:ascii="Times New Roman" w:hAnsi="Times New Roman" w:cs="Times New Roman"/>
          <w:sz w:val="24"/>
          <w:szCs w:val="24"/>
        </w:rPr>
        <w:t xml:space="preserve">, the other factors included an improperly </w:t>
      </w:r>
      <w:r w:rsidR="00710948">
        <w:rPr>
          <w:rFonts w:ascii="Times New Roman" w:hAnsi="Times New Roman" w:cs="Times New Roman"/>
          <w:sz w:val="24"/>
          <w:szCs w:val="24"/>
        </w:rPr>
        <w:t>chlorinated/</w:t>
      </w:r>
      <w:r w:rsidR="00917ADD">
        <w:rPr>
          <w:rFonts w:ascii="Times New Roman" w:hAnsi="Times New Roman" w:cs="Times New Roman"/>
          <w:sz w:val="24"/>
          <w:szCs w:val="24"/>
        </w:rPr>
        <w:t>treated system and criminal neglect as well as the factors listed in the chapter</w:t>
      </w:r>
      <w:r w:rsidR="00710948">
        <w:rPr>
          <w:rFonts w:ascii="Times New Roman" w:hAnsi="Times New Roman" w:cs="Times New Roman"/>
          <w:sz w:val="24"/>
          <w:szCs w:val="24"/>
        </w:rPr>
        <w:t>. As noted in the report by CBC news about the judicial inquiry into Walkerton, which has links to the inquiry report (</w:t>
      </w:r>
      <w:r w:rsidR="00710948" w:rsidRPr="00917ADD">
        <w:rPr>
          <w:rFonts w:ascii="Times New Roman" w:hAnsi="Times New Roman" w:cs="Times New Roman"/>
          <w:sz w:val="24"/>
          <w:szCs w:val="24"/>
        </w:rPr>
        <w:t>http://www.cbc.ca/news2/background/walkerton/walkerton_report.html</w:t>
      </w:r>
      <w:r w:rsidR="00710948">
        <w:rPr>
          <w:rFonts w:ascii="Times New Roman" w:hAnsi="Times New Roman" w:cs="Times New Roman"/>
          <w:sz w:val="24"/>
          <w:szCs w:val="24"/>
        </w:rPr>
        <w:t>.)  , “</w:t>
      </w:r>
      <w:r w:rsidR="00710948">
        <w:rPr>
          <w:rStyle w:val="body"/>
          <w:rFonts w:eastAsia="Times New Roman" w:cs="Times New Roman"/>
        </w:rPr>
        <w:t xml:space="preserve">The most serious case of water contamination in Canadian history could have been prevented by proper chlorination of drinking water,” </w:t>
      </w:r>
    </w:p>
    <w:p w14:paraId="75A998D8" w14:textId="602A76F0" w:rsidR="00917ADD" w:rsidRDefault="00917ADD" w:rsidP="007A6C88">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The multiple bar</w:t>
      </w:r>
      <w:r w:rsidR="00710948">
        <w:rPr>
          <w:rFonts w:ascii="Times New Roman" w:hAnsi="Times New Roman" w:cs="Times New Roman"/>
          <w:sz w:val="24"/>
          <w:szCs w:val="24"/>
        </w:rPr>
        <w:t>rier approach was simply not employed in the case of Walkerton. A</w:t>
      </w:r>
      <w:r>
        <w:rPr>
          <w:rFonts w:ascii="Times New Roman" w:hAnsi="Times New Roman" w:cs="Times New Roman"/>
          <w:sz w:val="24"/>
          <w:szCs w:val="24"/>
        </w:rPr>
        <w:t xml:space="preserve">s a result of this outbreak as well as </w:t>
      </w:r>
      <w:r w:rsidR="00710948">
        <w:rPr>
          <w:rFonts w:ascii="Times New Roman" w:hAnsi="Times New Roman" w:cs="Times New Roman"/>
          <w:sz w:val="24"/>
          <w:szCs w:val="24"/>
        </w:rPr>
        <w:t xml:space="preserve">the one </w:t>
      </w:r>
      <w:r>
        <w:rPr>
          <w:rFonts w:ascii="Times New Roman" w:hAnsi="Times New Roman" w:cs="Times New Roman"/>
          <w:sz w:val="24"/>
          <w:szCs w:val="24"/>
        </w:rPr>
        <w:t xml:space="preserve">Milwaukee, </w:t>
      </w:r>
      <w:r w:rsidR="00710948">
        <w:rPr>
          <w:rFonts w:ascii="Times New Roman" w:hAnsi="Times New Roman" w:cs="Times New Roman"/>
          <w:sz w:val="24"/>
          <w:szCs w:val="24"/>
        </w:rPr>
        <w:t xml:space="preserve">several </w:t>
      </w:r>
      <w:r>
        <w:rPr>
          <w:rFonts w:ascii="Times New Roman" w:hAnsi="Times New Roman" w:cs="Times New Roman"/>
          <w:sz w:val="24"/>
          <w:szCs w:val="24"/>
        </w:rPr>
        <w:t xml:space="preserve">improvements have been made in the SDWA in the U.S. that strengthen the multiple barrier protections that are implied by the statement “if drinking water is appropriately treated.” </w:t>
      </w:r>
    </w:p>
    <w:p w14:paraId="0AFBE4F0" w14:textId="77777777" w:rsidR="002120CB" w:rsidRDefault="00917ADD" w:rsidP="007A6C88">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With regard to the </w:t>
      </w:r>
      <w:r w:rsidR="00FE0E34">
        <w:rPr>
          <w:rFonts w:ascii="Times New Roman" w:hAnsi="Times New Roman" w:cs="Times New Roman"/>
          <w:sz w:val="24"/>
          <w:szCs w:val="24"/>
        </w:rPr>
        <w:t>i</w:t>
      </w:r>
      <w:r w:rsidR="00C80E3E">
        <w:rPr>
          <w:rFonts w:ascii="Times New Roman" w:hAnsi="Times New Roman" w:cs="Times New Roman"/>
          <w:sz w:val="24"/>
          <w:szCs w:val="24"/>
        </w:rPr>
        <w:t xml:space="preserve">nfrastructure </w:t>
      </w:r>
      <w:r w:rsidR="00FE0E34">
        <w:rPr>
          <w:rFonts w:ascii="Times New Roman" w:hAnsi="Times New Roman" w:cs="Times New Roman"/>
          <w:sz w:val="24"/>
          <w:szCs w:val="24"/>
        </w:rPr>
        <w:t xml:space="preserve">failure that we recommend be addressed solely in </w:t>
      </w:r>
      <w:r w:rsidR="00C80E3E">
        <w:rPr>
          <w:rFonts w:ascii="Times New Roman" w:hAnsi="Times New Roman" w:cs="Times New Roman"/>
          <w:sz w:val="24"/>
          <w:szCs w:val="24"/>
        </w:rPr>
        <w:t>chapter 7, not 5 (</w:t>
      </w:r>
      <w:r w:rsidR="00FE0E34">
        <w:rPr>
          <w:rFonts w:ascii="Times New Roman" w:hAnsi="Times New Roman" w:cs="Times New Roman"/>
          <w:sz w:val="24"/>
          <w:szCs w:val="24"/>
        </w:rPr>
        <w:t xml:space="preserve">with a </w:t>
      </w:r>
      <w:r w:rsidR="00C80E3E">
        <w:rPr>
          <w:rFonts w:ascii="Times New Roman" w:hAnsi="Times New Roman" w:cs="Times New Roman"/>
          <w:sz w:val="24"/>
          <w:szCs w:val="24"/>
        </w:rPr>
        <w:t xml:space="preserve">reference </w:t>
      </w:r>
      <w:r w:rsidR="00FE0E34">
        <w:rPr>
          <w:rFonts w:ascii="Times New Roman" w:hAnsi="Times New Roman" w:cs="Times New Roman"/>
          <w:sz w:val="24"/>
          <w:szCs w:val="24"/>
        </w:rPr>
        <w:t>that the reader consult chapter 7</w:t>
      </w:r>
      <w:r w:rsidR="00C80E3E">
        <w:rPr>
          <w:rFonts w:ascii="Times New Roman" w:hAnsi="Times New Roman" w:cs="Times New Roman"/>
          <w:sz w:val="24"/>
          <w:szCs w:val="24"/>
        </w:rPr>
        <w:t>)</w:t>
      </w:r>
      <w:r w:rsidR="00FE0E34">
        <w:rPr>
          <w:rFonts w:ascii="Times New Roman" w:hAnsi="Times New Roman" w:cs="Times New Roman"/>
          <w:sz w:val="24"/>
          <w:szCs w:val="24"/>
        </w:rPr>
        <w:t xml:space="preserve">, the likely issue with infrastructure failure is that water treatment systems are shut down (and this has different implications to the population depending on if the drinking water or wastewater utility is shut down.)  </w:t>
      </w:r>
    </w:p>
    <w:p w14:paraId="11AE6EE8" w14:textId="6735B652" w:rsidR="00C80E3E" w:rsidRDefault="00FE0E34" w:rsidP="007A6C88">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danger for the population for a cessation in drinking water treatment is the lack of </w:t>
      </w:r>
      <w:r w:rsidRPr="004A56E5">
        <w:rPr>
          <w:rFonts w:ascii="Times New Roman" w:hAnsi="Times New Roman" w:cs="Times New Roman"/>
          <w:sz w:val="24"/>
          <w:szCs w:val="24"/>
        </w:rPr>
        <w:t>water – and finding sou</w:t>
      </w:r>
      <w:r w:rsidR="00C80E3E" w:rsidRPr="004A56E5">
        <w:rPr>
          <w:rFonts w:ascii="Times New Roman" w:hAnsi="Times New Roman" w:cs="Times New Roman"/>
          <w:sz w:val="24"/>
          <w:szCs w:val="24"/>
        </w:rPr>
        <w:t xml:space="preserve">rces </w:t>
      </w:r>
      <w:r w:rsidRPr="004A56E5">
        <w:rPr>
          <w:rFonts w:ascii="Times New Roman" w:hAnsi="Times New Roman" w:cs="Times New Roman"/>
          <w:sz w:val="24"/>
          <w:szCs w:val="24"/>
        </w:rPr>
        <w:t>or drinking water, and potentially more so than the risk of</w:t>
      </w:r>
      <w:r w:rsidR="00C80E3E" w:rsidRPr="00280A0A">
        <w:rPr>
          <w:rFonts w:ascii="Times New Roman" w:hAnsi="Times New Roman" w:cs="Times New Roman"/>
          <w:sz w:val="24"/>
          <w:szCs w:val="24"/>
        </w:rPr>
        <w:t xml:space="preserve"> waterborne disease</w:t>
      </w:r>
      <w:r w:rsidRPr="00280A0A">
        <w:rPr>
          <w:rFonts w:ascii="Times New Roman" w:hAnsi="Times New Roman" w:cs="Times New Roman"/>
          <w:sz w:val="24"/>
          <w:szCs w:val="24"/>
        </w:rPr>
        <w:t xml:space="preserve"> from drinking contaminated water from a public water system. </w:t>
      </w:r>
      <w:r w:rsidR="002120CB" w:rsidRPr="00884BFA">
        <w:rPr>
          <w:rFonts w:ascii="Times New Roman" w:hAnsi="Times New Roman" w:cs="Times New Roman"/>
          <w:sz w:val="24"/>
          <w:szCs w:val="24"/>
        </w:rPr>
        <w:t>While a report by the Water Research Foundation following Hurricane Irene  (</w:t>
      </w:r>
      <w:r w:rsidR="002120CB" w:rsidRPr="0003633E">
        <w:rPr>
          <w:rFonts w:ascii="Times New Roman" w:hAnsi="Times New Roman" w:cs="Times New Roman"/>
          <w:color w:val="0000FF"/>
          <w:sz w:val="24"/>
          <w:szCs w:val="24"/>
          <w:u w:val="single" w:color="0000FF"/>
        </w:rPr>
        <w:t>http://www.waterrf.org/resources/Lists/PublicSpecialReports/Attachments/6/Hurricane_Irene_Survey_Report.pdf)</w:t>
      </w:r>
      <w:r w:rsidR="002120CB" w:rsidRPr="004A56E5">
        <w:rPr>
          <w:rFonts w:ascii="Times New Roman" w:hAnsi="Times New Roman" w:cs="Times New Roman"/>
          <w:sz w:val="24"/>
          <w:szCs w:val="24"/>
        </w:rPr>
        <w:t xml:space="preserve"> does indicate that a few systems did experience contamination of the distribution system, this number is lower than those who experienced source water contamination</w:t>
      </w:r>
      <w:r w:rsidR="002120CB">
        <w:rPr>
          <w:rFonts w:ascii="Times New Roman" w:hAnsi="Times New Roman" w:cs="Times New Roman"/>
          <w:sz w:val="24"/>
          <w:szCs w:val="24"/>
        </w:rPr>
        <w:t xml:space="preserve"> and an order of magnitude lower than those who experienced a loss of power. Again, the potential for the treatment plant to be shut down and implications for the availability of water for drinking appears to be the greater risk.</w:t>
      </w:r>
    </w:p>
    <w:p w14:paraId="6AB0D454" w14:textId="77777777" w:rsidR="002120CB" w:rsidRDefault="002120CB" w:rsidP="0003633E">
      <w:pPr>
        <w:pStyle w:val="NoSpacing"/>
        <w:spacing w:line="276" w:lineRule="auto"/>
        <w:ind w:left="720"/>
        <w:rPr>
          <w:rFonts w:ascii="Times New Roman" w:hAnsi="Times New Roman" w:cs="Times New Roman"/>
          <w:sz w:val="24"/>
          <w:szCs w:val="24"/>
        </w:rPr>
      </w:pPr>
    </w:p>
    <w:p w14:paraId="48E4CDBD" w14:textId="754CB2D0" w:rsidR="00764DC9" w:rsidDel="7E6EDC50" w:rsidRDefault="00F05126" w:rsidP="0003633E">
      <w:pPr>
        <w:pStyle w:val="NoSpacing"/>
        <w:spacing w:line="276" w:lineRule="auto"/>
        <w:ind w:left="360"/>
      </w:pPr>
      <w:r>
        <w:br/>
      </w:r>
    </w:p>
    <w:p w14:paraId="398F8703" w14:textId="1061BFC9" w:rsidR="00FF50D2" w:rsidRDefault="1061BFC9" w:rsidP="001C7616">
      <w:pPr>
        <w:pStyle w:val="NoSpacing"/>
        <w:spacing w:line="276" w:lineRule="auto"/>
        <w:rPr>
          <w:rFonts w:eastAsiaTheme="minorEastAsia"/>
          <w:sz w:val="24"/>
          <w:szCs w:val="24"/>
        </w:rPr>
      </w:pPr>
      <w:r w:rsidRPr="001C7616">
        <w:rPr>
          <w:rFonts w:ascii="Times New Roman" w:eastAsia="Times New Roman" w:hAnsi="Times New Roman" w:cs="Times New Roman"/>
          <w:sz w:val="24"/>
          <w:szCs w:val="24"/>
          <w:u w:val="single"/>
        </w:rPr>
        <w:lastRenderedPageBreak/>
        <w:t>ES Comments</w:t>
      </w:r>
    </w:p>
    <w:p w14:paraId="0D6D378F" w14:textId="69C37B77" w:rsidR="00FF50D2" w:rsidRDefault="4D3598DF" w:rsidP="001C7616">
      <w:pPr>
        <w:pStyle w:val="NoSpacing"/>
        <w:numPr>
          <w:ilvl w:val="0"/>
          <w:numId w:val="3"/>
        </w:numPr>
        <w:spacing w:line="276" w:lineRule="auto"/>
        <w:rPr>
          <w:rFonts w:eastAsiaTheme="minorEastAsia"/>
          <w:sz w:val="24"/>
          <w:szCs w:val="24"/>
        </w:rPr>
      </w:pPr>
      <w:r w:rsidRPr="001C7616">
        <w:rPr>
          <w:rFonts w:ascii="Times New Roman" w:eastAsia="Times New Roman" w:hAnsi="Times New Roman" w:cs="Times New Roman"/>
          <w:sz w:val="24"/>
          <w:szCs w:val="24"/>
        </w:rPr>
        <w:t xml:space="preserve">Whole chapter: </w:t>
      </w:r>
      <w:r w:rsidR="007A6C88">
        <w:rPr>
          <w:rFonts w:ascii="Times New Roman" w:eastAsia="Times New Roman" w:hAnsi="Times New Roman" w:cs="Times New Roman"/>
          <w:sz w:val="24"/>
          <w:szCs w:val="24"/>
        </w:rPr>
        <w:t xml:space="preserve">The ES would be improved </w:t>
      </w:r>
      <w:r w:rsidR="002612B2" w:rsidRPr="001C7616">
        <w:rPr>
          <w:rFonts w:ascii="Times New Roman" w:eastAsia="Times New Roman" w:hAnsi="Times New Roman" w:cs="Times New Roman"/>
          <w:sz w:val="24"/>
          <w:szCs w:val="24"/>
        </w:rPr>
        <w:t xml:space="preserve">if there was a clear up front summary statement </w:t>
      </w:r>
      <w:r w:rsidR="48131838" w:rsidRPr="001C7616">
        <w:rPr>
          <w:rFonts w:ascii="Times New Roman" w:eastAsia="Times New Roman" w:hAnsi="Times New Roman" w:cs="Times New Roman"/>
          <w:sz w:val="24"/>
          <w:szCs w:val="24"/>
        </w:rPr>
        <w:t xml:space="preserve">that delineates </w:t>
      </w:r>
      <w:r w:rsidR="1453EF80" w:rsidRPr="001C7616">
        <w:rPr>
          <w:rFonts w:ascii="Times New Roman" w:eastAsia="Times New Roman" w:hAnsi="Times New Roman" w:cs="Times New Roman"/>
          <w:sz w:val="24"/>
          <w:szCs w:val="24"/>
        </w:rPr>
        <w:t>between:</w:t>
      </w:r>
    </w:p>
    <w:p w14:paraId="47658069" w14:textId="25B76618" w:rsidR="00FF50D2" w:rsidRDefault="002702D4" w:rsidP="001C7616">
      <w:pPr>
        <w:pStyle w:val="NoSpacing"/>
        <w:numPr>
          <w:ilvl w:val="1"/>
          <w:numId w:val="6"/>
        </w:numPr>
        <w:spacing w:line="276" w:lineRule="auto"/>
        <w:rPr>
          <w:rFonts w:eastAsiaTheme="minorEastAsia"/>
          <w:sz w:val="24"/>
          <w:szCs w:val="24"/>
        </w:rPr>
      </w:pPr>
      <w:r w:rsidRPr="001C7616">
        <w:rPr>
          <w:rFonts w:ascii="Times New Roman" w:eastAsia="Times New Roman" w:hAnsi="Times New Roman" w:cs="Times New Roman"/>
          <w:sz w:val="24"/>
          <w:szCs w:val="24"/>
        </w:rPr>
        <w:t>Where</w:t>
      </w:r>
      <w:r w:rsidR="002612B2" w:rsidRPr="001C7616">
        <w:rPr>
          <w:rFonts w:ascii="Times New Roman" w:eastAsia="Times New Roman" w:hAnsi="Times New Roman" w:cs="Times New Roman"/>
          <w:sz w:val="24"/>
          <w:szCs w:val="24"/>
        </w:rPr>
        <w:t xml:space="preserve"> </w:t>
      </w:r>
      <w:r w:rsidRPr="001C7616">
        <w:rPr>
          <w:rFonts w:ascii="Times New Roman" w:eastAsia="Times New Roman" w:hAnsi="Times New Roman" w:cs="Times New Roman"/>
          <w:sz w:val="24"/>
          <w:szCs w:val="24"/>
        </w:rPr>
        <w:t>the report</w:t>
      </w:r>
      <w:r w:rsidR="002612B2" w:rsidRPr="001C7616">
        <w:rPr>
          <w:rFonts w:ascii="Times New Roman" w:eastAsia="Times New Roman" w:hAnsi="Times New Roman" w:cs="Times New Roman"/>
          <w:sz w:val="24"/>
          <w:szCs w:val="24"/>
        </w:rPr>
        <w:t xml:space="preserve"> makes clear statements and can quantify the potential direction</w:t>
      </w:r>
      <w:r w:rsidRPr="001C7616">
        <w:rPr>
          <w:rFonts w:ascii="Times New Roman" w:eastAsia="Times New Roman" w:hAnsi="Times New Roman" w:cs="Times New Roman"/>
          <w:sz w:val="24"/>
          <w:szCs w:val="24"/>
        </w:rPr>
        <w:t>, likelihood</w:t>
      </w:r>
      <w:r w:rsidR="002612B2" w:rsidRPr="001C7616">
        <w:rPr>
          <w:rFonts w:ascii="Times New Roman" w:eastAsia="Times New Roman" w:hAnsi="Times New Roman" w:cs="Times New Roman"/>
          <w:sz w:val="24"/>
          <w:szCs w:val="24"/>
        </w:rPr>
        <w:t xml:space="preserve"> and certainty of a relationship between climate change and public health, and</w:t>
      </w:r>
    </w:p>
    <w:p w14:paraId="6B71D047" w14:textId="07D45FF8" w:rsidR="00FF50D2" w:rsidRDefault="002612B2" w:rsidP="001C7616">
      <w:pPr>
        <w:pStyle w:val="NoSpacing"/>
        <w:numPr>
          <w:ilvl w:val="1"/>
          <w:numId w:val="6"/>
        </w:numPr>
        <w:spacing w:line="276" w:lineRule="auto"/>
        <w:rPr>
          <w:rFonts w:eastAsiaTheme="minorEastAsia"/>
          <w:sz w:val="24"/>
          <w:szCs w:val="24"/>
        </w:rPr>
      </w:pPr>
      <w:r w:rsidRPr="001C7616">
        <w:rPr>
          <w:rFonts w:ascii="Times New Roman" w:eastAsia="Times New Roman" w:hAnsi="Times New Roman" w:cs="Times New Roman"/>
          <w:sz w:val="24"/>
          <w:szCs w:val="24"/>
        </w:rPr>
        <w:t xml:space="preserve">  </w:t>
      </w:r>
      <w:r w:rsidR="002702D4" w:rsidRPr="001C7616">
        <w:rPr>
          <w:rFonts w:ascii="Times New Roman" w:eastAsia="Times New Roman" w:hAnsi="Times New Roman" w:cs="Times New Roman"/>
          <w:sz w:val="24"/>
          <w:szCs w:val="24"/>
        </w:rPr>
        <w:t>Where</w:t>
      </w:r>
      <w:r w:rsidRPr="001C7616">
        <w:rPr>
          <w:rFonts w:ascii="Times New Roman" w:eastAsia="Times New Roman" w:hAnsi="Times New Roman" w:cs="Times New Roman"/>
          <w:sz w:val="24"/>
          <w:szCs w:val="24"/>
        </w:rPr>
        <w:t xml:space="preserve"> there is uncertainty about direction, likelihood, and certainty of a relationship.  </w:t>
      </w:r>
    </w:p>
    <w:p w14:paraId="6B86E524" w14:textId="5DD4436E" w:rsidR="00FF50D2" w:rsidRDefault="00536247" w:rsidP="001C7616">
      <w:pPr>
        <w:pStyle w:val="NoSpacing"/>
        <w:numPr>
          <w:ilvl w:val="0"/>
          <w:numId w:val="3"/>
        </w:numPr>
        <w:spacing w:line="276" w:lineRule="auto"/>
        <w:rPr>
          <w:rFonts w:eastAsiaTheme="minorEastAsia"/>
          <w:sz w:val="24"/>
          <w:szCs w:val="24"/>
        </w:rPr>
      </w:pPr>
      <w:r w:rsidRPr="001C7616">
        <w:rPr>
          <w:rFonts w:ascii="Times New Roman" w:eastAsia="Times New Roman" w:hAnsi="Times New Roman" w:cs="Times New Roman"/>
          <w:sz w:val="24"/>
          <w:szCs w:val="24"/>
        </w:rPr>
        <w:t xml:space="preserve">Whole chapter: </w:t>
      </w:r>
      <w:r w:rsidR="00416169" w:rsidRPr="001C7616">
        <w:rPr>
          <w:rFonts w:ascii="Times New Roman" w:eastAsia="Times New Roman" w:hAnsi="Times New Roman" w:cs="Times New Roman"/>
          <w:sz w:val="24"/>
          <w:szCs w:val="24"/>
        </w:rPr>
        <w:t xml:space="preserve">It appears that </w:t>
      </w:r>
      <w:r w:rsidR="001C7616">
        <w:rPr>
          <w:rFonts w:ascii="Times New Roman" w:eastAsia="Times New Roman" w:hAnsi="Times New Roman" w:cs="Times New Roman"/>
          <w:sz w:val="24"/>
          <w:szCs w:val="24"/>
        </w:rPr>
        <w:t xml:space="preserve">the </w:t>
      </w:r>
      <w:r w:rsidR="002612B2" w:rsidRPr="001C7616">
        <w:rPr>
          <w:rFonts w:ascii="Times New Roman" w:eastAsia="Times New Roman" w:hAnsi="Times New Roman" w:cs="Times New Roman"/>
          <w:sz w:val="24"/>
          <w:szCs w:val="24"/>
        </w:rPr>
        <w:t>only relationships that can be discussed with any certainty are the relationships between temperature and morbidity/mortality, and temperature and ozone, and physical threats (flooding, drought)</w:t>
      </w:r>
      <w:r w:rsidR="1453EF80" w:rsidRPr="001C7616">
        <w:rPr>
          <w:rFonts w:ascii="Times New Roman" w:eastAsia="Times New Roman" w:hAnsi="Times New Roman" w:cs="Times New Roman"/>
          <w:sz w:val="24"/>
          <w:szCs w:val="24"/>
        </w:rPr>
        <w:t>, yet some of the ways this is quantified gets muddied between chapters.</w:t>
      </w:r>
    </w:p>
    <w:p w14:paraId="1FA7684B" w14:textId="345B5DDD" w:rsidR="0C769939" w:rsidRPr="00A40531" w:rsidRDefault="0C769939" w:rsidP="001C7616">
      <w:pPr>
        <w:pStyle w:val="NoSpacing"/>
        <w:numPr>
          <w:ilvl w:val="0"/>
          <w:numId w:val="3"/>
        </w:numPr>
        <w:spacing w:line="276" w:lineRule="auto"/>
        <w:rPr>
          <w:rFonts w:eastAsiaTheme="minorEastAsia"/>
          <w:sz w:val="24"/>
          <w:szCs w:val="24"/>
        </w:rPr>
      </w:pPr>
      <w:r w:rsidRPr="001C7616">
        <w:rPr>
          <w:rFonts w:ascii="Times New Roman" w:eastAsia="Times New Roman" w:hAnsi="Times New Roman" w:cs="Times New Roman"/>
          <w:sz w:val="24"/>
          <w:szCs w:val="24"/>
        </w:rPr>
        <w:t>Whole chapter: Under non-climate stressors-is listed “ecosystem degradation</w:t>
      </w:r>
      <w:r w:rsidR="002702D4" w:rsidRPr="001C7616">
        <w:rPr>
          <w:rFonts w:ascii="Times New Roman" w:eastAsia="Times New Roman" w:hAnsi="Times New Roman" w:cs="Times New Roman"/>
          <w:sz w:val="24"/>
          <w:szCs w:val="24"/>
        </w:rPr>
        <w:t>” which the</w:t>
      </w:r>
      <w:r w:rsidRPr="001C7616">
        <w:rPr>
          <w:rFonts w:ascii="Times New Roman" w:eastAsia="Times New Roman" w:hAnsi="Times New Roman" w:cs="Times New Roman"/>
          <w:sz w:val="24"/>
          <w:szCs w:val="24"/>
        </w:rPr>
        <w:t xml:space="preserve"> report points out may be positive or negative.  </w:t>
      </w:r>
      <w:r w:rsidR="41871DDF" w:rsidRPr="001C7616">
        <w:rPr>
          <w:rFonts w:ascii="Times New Roman" w:eastAsia="Times New Roman" w:hAnsi="Times New Roman" w:cs="Times New Roman"/>
          <w:sz w:val="24"/>
          <w:szCs w:val="24"/>
        </w:rPr>
        <w:t>Therefore suggest cha</w:t>
      </w:r>
      <w:r w:rsidRPr="001C7616">
        <w:rPr>
          <w:rFonts w:ascii="Times New Roman" w:eastAsia="Times New Roman" w:hAnsi="Times New Roman" w:cs="Times New Roman"/>
          <w:sz w:val="24"/>
          <w:szCs w:val="24"/>
        </w:rPr>
        <w:t>nging “ecosystem degradation” to “ecosystem change”.</w:t>
      </w:r>
    </w:p>
    <w:p w14:paraId="738BD4F4" w14:textId="5D078943" w:rsidR="009D7EED" w:rsidRDefault="009D7EED" w:rsidP="683DD14D">
      <w:pPr>
        <w:pStyle w:val="NoSpacing"/>
        <w:numPr>
          <w:ilvl w:val="0"/>
          <w:numId w:val="2"/>
        </w:numPr>
        <w:spacing w:line="276" w:lineRule="auto"/>
        <w:rPr>
          <w:rFonts w:eastAsiaTheme="minorEastAsia"/>
          <w:sz w:val="24"/>
          <w:szCs w:val="24"/>
        </w:rPr>
      </w:pPr>
      <w:r w:rsidRPr="00A40531">
        <w:rPr>
          <w:rFonts w:ascii="Times New Roman" w:eastAsia="Times New Roman" w:hAnsi="Times New Roman" w:cs="Times New Roman"/>
          <w:sz w:val="24"/>
          <w:szCs w:val="24"/>
        </w:rPr>
        <w:t>Page</w:t>
      </w:r>
      <w:r w:rsidR="00100361" w:rsidRPr="00A40531">
        <w:rPr>
          <w:rFonts w:ascii="Times New Roman" w:eastAsia="Times New Roman" w:hAnsi="Times New Roman" w:cs="Times New Roman"/>
          <w:sz w:val="24"/>
          <w:szCs w:val="24"/>
        </w:rPr>
        <w:t xml:space="preserve"> 5-lines 15-21</w:t>
      </w:r>
      <w:r w:rsidR="002702D4" w:rsidRPr="00A40531">
        <w:rPr>
          <w:rFonts w:ascii="Times New Roman" w:eastAsia="Times New Roman" w:hAnsi="Times New Roman" w:cs="Times New Roman"/>
          <w:sz w:val="24"/>
          <w:szCs w:val="24"/>
        </w:rPr>
        <w:t>.</w:t>
      </w:r>
      <w:r w:rsidR="00100361" w:rsidRPr="00A40531">
        <w:rPr>
          <w:rFonts w:ascii="Times New Roman" w:eastAsia="Times New Roman" w:hAnsi="Times New Roman" w:cs="Times New Roman"/>
          <w:sz w:val="24"/>
          <w:szCs w:val="24"/>
        </w:rPr>
        <w:t xml:space="preserve">  Key Finding 1 states that future climate change could lead to thousands to tens of thousands of deaths each year</w:t>
      </w:r>
      <w:r w:rsidR="00FF65DF" w:rsidRPr="00A40531">
        <w:rPr>
          <w:rFonts w:ascii="Times New Roman" w:eastAsia="Times New Roman" w:hAnsi="Times New Roman" w:cs="Times New Roman"/>
          <w:sz w:val="24"/>
          <w:szCs w:val="24"/>
        </w:rPr>
        <w:t xml:space="preserve">. This is properly nuanced in </w:t>
      </w:r>
      <w:r w:rsidR="002612B2" w:rsidRPr="00A40531">
        <w:rPr>
          <w:rFonts w:ascii="Times New Roman" w:eastAsia="Times New Roman" w:hAnsi="Times New Roman" w:cs="Times New Roman"/>
          <w:sz w:val="24"/>
          <w:szCs w:val="24"/>
        </w:rPr>
        <w:t xml:space="preserve">the ES in </w:t>
      </w:r>
      <w:r w:rsidR="00FF65DF" w:rsidRPr="00A40531">
        <w:rPr>
          <w:rFonts w:ascii="Times New Roman" w:eastAsia="Times New Roman" w:hAnsi="Times New Roman" w:cs="Times New Roman"/>
          <w:sz w:val="24"/>
          <w:szCs w:val="24"/>
        </w:rPr>
        <w:t xml:space="preserve">stating that the number is due to deaths due to extreme heat and recognizes that there are also projected to be a decrease in deaths from the cold in the winter-though with less confidence than the projections for heat related death.  </w:t>
      </w:r>
      <w:r w:rsidR="00416169" w:rsidRPr="00A40531">
        <w:rPr>
          <w:rFonts w:ascii="Times New Roman" w:eastAsia="Times New Roman" w:hAnsi="Times New Roman" w:cs="Times New Roman"/>
          <w:sz w:val="24"/>
          <w:szCs w:val="24"/>
        </w:rPr>
        <w:t>This</w:t>
      </w:r>
      <w:r w:rsidR="00FF65DF" w:rsidRPr="00A40531">
        <w:rPr>
          <w:rFonts w:ascii="Times New Roman" w:eastAsia="Times New Roman" w:hAnsi="Times New Roman" w:cs="Times New Roman"/>
          <w:sz w:val="24"/>
          <w:szCs w:val="24"/>
        </w:rPr>
        <w:t xml:space="preserve"> statement is in contrast to the results presented on page 61 lines 14-</w:t>
      </w:r>
      <w:r w:rsidR="002702D4" w:rsidRPr="00A40531">
        <w:rPr>
          <w:rFonts w:ascii="Times New Roman" w:eastAsia="Times New Roman" w:hAnsi="Times New Roman" w:cs="Times New Roman"/>
          <w:sz w:val="24"/>
          <w:szCs w:val="24"/>
        </w:rPr>
        <w:t>18, which</w:t>
      </w:r>
      <w:r w:rsidR="00416169" w:rsidRPr="00A40531">
        <w:rPr>
          <w:rFonts w:ascii="Times New Roman" w:eastAsia="Times New Roman" w:hAnsi="Times New Roman" w:cs="Times New Roman"/>
          <w:sz w:val="24"/>
          <w:szCs w:val="24"/>
        </w:rPr>
        <w:t xml:space="preserve"> are from one st</w:t>
      </w:r>
      <w:r w:rsidR="683DD14D" w:rsidRPr="00A40531">
        <w:rPr>
          <w:rFonts w:ascii="Times New Roman" w:eastAsia="Times New Roman" w:hAnsi="Times New Roman" w:cs="Times New Roman"/>
          <w:sz w:val="24"/>
          <w:szCs w:val="24"/>
        </w:rPr>
        <w:t>u</w:t>
      </w:r>
      <w:r w:rsidR="00416169" w:rsidRPr="00A40531">
        <w:rPr>
          <w:rFonts w:ascii="Times New Roman" w:eastAsia="Times New Roman" w:hAnsi="Times New Roman" w:cs="Times New Roman"/>
          <w:sz w:val="24"/>
          <w:szCs w:val="24"/>
        </w:rPr>
        <w:t xml:space="preserve">dy that </w:t>
      </w:r>
      <w:r w:rsidR="00FF65DF" w:rsidRPr="00A40531">
        <w:rPr>
          <w:rFonts w:ascii="Times New Roman" w:eastAsia="Times New Roman" w:hAnsi="Times New Roman" w:cs="Times New Roman"/>
          <w:sz w:val="24"/>
          <w:szCs w:val="24"/>
        </w:rPr>
        <w:t>projects a net increase of 2000-10000</w:t>
      </w:r>
      <w:r w:rsidR="002612B2" w:rsidRPr="00A40531">
        <w:rPr>
          <w:rFonts w:ascii="Times New Roman" w:eastAsia="Times New Roman" w:hAnsi="Times New Roman" w:cs="Times New Roman"/>
          <w:sz w:val="24"/>
          <w:szCs w:val="24"/>
        </w:rPr>
        <w:t xml:space="preserve"> deaths</w:t>
      </w:r>
      <w:r w:rsidR="00FF65DF" w:rsidRPr="00A40531">
        <w:rPr>
          <w:rFonts w:ascii="Times New Roman" w:eastAsia="Times New Roman" w:hAnsi="Times New Roman" w:cs="Times New Roman"/>
          <w:sz w:val="24"/>
          <w:szCs w:val="24"/>
        </w:rPr>
        <w:t>.</w:t>
      </w:r>
      <w:r w:rsidR="00435B1F" w:rsidRPr="00A40531">
        <w:rPr>
          <w:rFonts w:ascii="Times New Roman" w:eastAsia="Times New Roman" w:hAnsi="Times New Roman" w:cs="Times New Roman"/>
          <w:sz w:val="24"/>
          <w:szCs w:val="24"/>
        </w:rPr>
        <w:t xml:space="preserve"> </w:t>
      </w:r>
    </w:p>
    <w:p w14:paraId="3B3B67F2" w14:textId="0529A7FC" w:rsidR="00A40531" w:rsidRDefault="00A40531" w:rsidP="00A40531">
      <w:pPr>
        <w:pStyle w:val="NoSpacing"/>
        <w:numPr>
          <w:ilvl w:val="0"/>
          <w:numId w:val="2"/>
        </w:numPr>
        <w:spacing w:line="276" w:lineRule="auto"/>
        <w:rPr>
          <w:rFonts w:eastAsiaTheme="minorEastAsia"/>
          <w:sz w:val="24"/>
          <w:szCs w:val="24"/>
        </w:rPr>
      </w:pPr>
      <w:r w:rsidRPr="001C7616">
        <w:rPr>
          <w:rFonts w:ascii="Times New Roman" w:eastAsia="Times New Roman" w:hAnsi="Times New Roman" w:cs="Times New Roman"/>
          <w:sz w:val="24"/>
          <w:szCs w:val="24"/>
        </w:rPr>
        <w:t xml:space="preserve">Figure ES1 page 4- </w:t>
      </w:r>
      <w:r w:rsidR="002702D4" w:rsidRPr="001C7616">
        <w:rPr>
          <w:rFonts w:ascii="Times New Roman" w:eastAsia="Times New Roman" w:hAnsi="Times New Roman" w:cs="Times New Roman"/>
          <w:sz w:val="24"/>
          <w:szCs w:val="24"/>
        </w:rPr>
        <w:t>should</w:t>
      </w:r>
      <w:r w:rsidRPr="001C7616">
        <w:rPr>
          <w:rFonts w:ascii="Times New Roman" w:eastAsia="Times New Roman" w:hAnsi="Times New Roman" w:cs="Times New Roman"/>
          <w:sz w:val="24"/>
          <w:szCs w:val="24"/>
        </w:rPr>
        <w:t xml:space="preserve"> the items listed as "drivers" </w:t>
      </w:r>
      <w:proofErr w:type="gramStart"/>
      <w:r w:rsidRPr="001C7616">
        <w:rPr>
          <w:rFonts w:ascii="Times New Roman" w:eastAsia="Times New Roman" w:hAnsi="Times New Roman" w:cs="Times New Roman"/>
          <w:sz w:val="24"/>
          <w:szCs w:val="24"/>
        </w:rPr>
        <w:t>be</w:t>
      </w:r>
      <w:proofErr w:type="gramEnd"/>
      <w:r w:rsidRPr="001C7616">
        <w:rPr>
          <w:rFonts w:ascii="Times New Roman" w:eastAsia="Times New Roman" w:hAnsi="Times New Roman" w:cs="Times New Roman"/>
          <w:sz w:val="24"/>
          <w:szCs w:val="24"/>
        </w:rPr>
        <w:t xml:space="preserve"> called </w:t>
      </w:r>
      <w:r>
        <w:rPr>
          <w:rFonts w:ascii="Times New Roman" w:eastAsia="Times New Roman" w:hAnsi="Times New Roman" w:cs="Times New Roman"/>
          <w:sz w:val="24"/>
          <w:szCs w:val="24"/>
        </w:rPr>
        <w:t>“</w:t>
      </w:r>
      <w:r w:rsidRPr="001C7616">
        <w:rPr>
          <w:rFonts w:ascii="Times New Roman" w:eastAsia="Times New Roman" w:hAnsi="Times New Roman" w:cs="Times New Roman"/>
          <w:sz w:val="24"/>
          <w:szCs w:val="24"/>
        </w:rPr>
        <w:t>impacts</w:t>
      </w:r>
      <w:r>
        <w:rPr>
          <w:rFonts w:ascii="Times New Roman" w:eastAsia="Times New Roman" w:hAnsi="Times New Roman" w:cs="Times New Roman"/>
          <w:sz w:val="24"/>
          <w:szCs w:val="24"/>
        </w:rPr>
        <w:t>” instead? Also, this</w:t>
      </w:r>
      <w:r w:rsidRPr="001C7616">
        <w:rPr>
          <w:rFonts w:ascii="Times New Roman" w:eastAsia="Times New Roman" w:hAnsi="Times New Roman" w:cs="Times New Roman"/>
          <w:sz w:val="24"/>
          <w:szCs w:val="24"/>
        </w:rPr>
        <w:t xml:space="preserve"> figure makes no mention of ocean and lake water acidification-an outcome/i</w:t>
      </w:r>
      <w:r w:rsidR="007C0A27">
        <w:rPr>
          <w:rFonts w:ascii="Times New Roman" w:eastAsia="Times New Roman" w:hAnsi="Times New Roman" w:cs="Times New Roman"/>
          <w:sz w:val="24"/>
          <w:szCs w:val="24"/>
        </w:rPr>
        <w:t>mpact of increasing CO2 levels</w:t>
      </w:r>
      <w:r w:rsidRPr="001C7616">
        <w:rPr>
          <w:rFonts w:ascii="Times New Roman" w:eastAsia="Times New Roman" w:hAnsi="Times New Roman" w:cs="Times New Roman"/>
          <w:sz w:val="24"/>
          <w:szCs w:val="24"/>
        </w:rPr>
        <w:t>.</w:t>
      </w:r>
      <w:r w:rsidR="007C0A27">
        <w:rPr>
          <w:rFonts w:ascii="Times New Roman" w:eastAsia="Times New Roman" w:hAnsi="Times New Roman" w:cs="Times New Roman"/>
          <w:sz w:val="24"/>
          <w:szCs w:val="24"/>
        </w:rPr>
        <w:t xml:space="preserve"> This impact should be addressed in the document if there are references that tie ocean acidification to public health impacts.</w:t>
      </w:r>
      <w:r w:rsidRPr="001C7616">
        <w:rPr>
          <w:rFonts w:ascii="Times New Roman" w:eastAsia="Times New Roman" w:hAnsi="Times New Roman" w:cs="Times New Roman"/>
          <w:sz w:val="24"/>
          <w:szCs w:val="24"/>
        </w:rPr>
        <w:t xml:space="preserve">  </w:t>
      </w:r>
    </w:p>
    <w:p w14:paraId="710F83E1" w14:textId="77777777" w:rsidR="00A40531" w:rsidRDefault="00A40531" w:rsidP="00A40531">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It is unclear why some items are quantified with both a “confidence” level and a “likelihood” and others are not. This should be explained. </w:t>
      </w:r>
    </w:p>
    <w:p w14:paraId="7B434E30" w14:textId="77777777" w:rsidR="00A40531" w:rsidRDefault="00A40531" w:rsidP="00A40531">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Page 9: According to Chapter 1, which describes the approach for quantifying uncertainty, </w:t>
      </w:r>
      <w:r w:rsidRPr="001C7616">
        <w:rPr>
          <w:rFonts w:ascii="Times New Roman" w:hAnsi="Times New Roman" w:cs="Times New Roman"/>
          <w:sz w:val="24"/>
          <w:szCs w:val="24"/>
        </w:rPr>
        <w:t>likelihood is supposed to range from “</w:t>
      </w:r>
      <w:r>
        <w:rPr>
          <w:rFonts w:ascii="Times New Roman" w:hAnsi="Times New Roman" w:cs="Times New Roman"/>
          <w:sz w:val="24"/>
          <w:szCs w:val="24"/>
        </w:rPr>
        <w:t xml:space="preserve">very </w:t>
      </w:r>
      <w:r w:rsidRPr="001C7616">
        <w:rPr>
          <w:rFonts w:ascii="Times New Roman" w:hAnsi="Times New Roman" w:cs="Times New Roman"/>
          <w:sz w:val="24"/>
          <w:szCs w:val="24"/>
        </w:rPr>
        <w:t xml:space="preserve">unlikely to very likely”.  However, </w:t>
      </w:r>
      <w:r>
        <w:rPr>
          <w:rFonts w:ascii="Times New Roman" w:hAnsi="Times New Roman" w:cs="Times New Roman"/>
          <w:sz w:val="24"/>
          <w:szCs w:val="24"/>
        </w:rPr>
        <w:t>on page 9 the phrase</w:t>
      </w:r>
      <w:r w:rsidRPr="001C7616">
        <w:rPr>
          <w:rFonts w:ascii="Times New Roman" w:hAnsi="Times New Roman" w:cs="Times New Roman"/>
          <w:sz w:val="24"/>
          <w:szCs w:val="24"/>
        </w:rPr>
        <w:t xml:space="preserve"> “extremely likely”</w:t>
      </w:r>
      <w:r>
        <w:rPr>
          <w:rFonts w:ascii="Times New Roman" w:hAnsi="Times New Roman" w:cs="Times New Roman"/>
          <w:sz w:val="24"/>
          <w:szCs w:val="24"/>
        </w:rPr>
        <w:t xml:space="preserve"> is used.</w:t>
      </w:r>
    </w:p>
    <w:p w14:paraId="1CA923BB" w14:textId="44AFA2D8" w:rsidR="00835A09" w:rsidRDefault="00A40531" w:rsidP="00991875">
      <w:pPr>
        <w:pStyle w:val="NoSpacing"/>
        <w:numPr>
          <w:ilvl w:val="0"/>
          <w:numId w:val="13"/>
        </w:numPr>
        <w:spacing w:line="276" w:lineRule="auto"/>
        <w:rPr>
          <w:rFonts w:ascii="Times New Roman" w:hAnsi="Times New Roman" w:cs="Times New Roman"/>
          <w:sz w:val="24"/>
          <w:szCs w:val="24"/>
        </w:rPr>
      </w:pPr>
      <w:r w:rsidRPr="001C7616">
        <w:rPr>
          <w:rFonts w:ascii="Times New Roman" w:hAnsi="Times New Roman" w:cs="Times New Roman"/>
          <w:sz w:val="24"/>
          <w:szCs w:val="24"/>
        </w:rPr>
        <w:t xml:space="preserve">While the approach used to quantify uncertainty in the report is discussed briefly on pages 37-38, the methodology should be briefly discussed in the Exec. Summary to clarify that the </w:t>
      </w:r>
      <w:r w:rsidR="002702D4" w:rsidRPr="001C7616">
        <w:rPr>
          <w:rFonts w:ascii="Times New Roman" w:hAnsi="Times New Roman" w:cs="Times New Roman"/>
          <w:sz w:val="24"/>
          <w:szCs w:val="24"/>
        </w:rPr>
        <w:t>descriptors represent</w:t>
      </w:r>
      <w:r w:rsidRPr="001C7616">
        <w:rPr>
          <w:rFonts w:ascii="Times New Roman" w:hAnsi="Times New Roman" w:cs="Times New Roman"/>
          <w:sz w:val="24"/>
          <w:szCs w:val="24"/>
        </w:rPr>
        <w:t xml:space="preserve"> the consensus “expert judgment”. </w:t>
      </w:r>
    </w:p>
    <w:p w14:paraId="6939FDAB" w14:textId="77777777" w:rsidR="00835A09" w:rsidRDefault="00835A09" w:rsidP="006606DC">
      <w:pPr>
        <w:pStyle w:val="NoSpacing"/>
        <w:spacing w:line="276" w:lineRule="auto"/>
        <w:rPr>
          <w:rFonts w:ascii="Times New Roman" w:hAnsi="Times New Roman" w:cs="Times New Roman"/>
          <w:sz w:val="24"/>
          <w:szCs w:val="24"/>
        </w:rPr>
      </w:pPr>
    </w:p>
    <w:p w14:paraId="3272FE38" w14:textId="77777777" w:rsidR="00A40531" w:rsidRDefault="00A40531" w:rsidP="00A40531">
      <w:pPr>
        <w:pStyle w:val="NoSpacing"/>
        <w:spacing w:line="276" w:lineRule="auto"/>
        <w:rPr>
          <w:rFonts w:ascii="Times New Roman" w:hAnsi="Times New Roman" w:cs="Times New Roman"/>
          <w:sz w:val="24"/>
          <w:szCs w:val="24"/>
        </w:rPr>
      </w:pPr>
      <w:r w:rsidRPr="001C7616">
        <w:rPr>
          <w:rFonts w:ascii="Times New Roman" w:hAnsi="Times New Roman" w:cs="Times New Roman"/>
          <w:b/>
          <w:sz w:val="24"/>
          <w:szCs w:val="24"/>
        </w:rPr>
        <w:t>Chapter 1</w:t>
      </w:r>
      <w:r>
        <w:rPr>
          <w:rFonts w:ascii="Times New Roman" w:hAnsi="Times New Roman" w:cs="Times New Roman"/>
          <w:sz w:val="24"/>
          <w:szCs w:val="24"/>
        </w:rPr>
        <w:t xml:space="preserve">- </w:t>
      </w:r>
      <w:r w:rsidRPr="00991875">
        <w:rPr>
          <w:rFonts w:ascii="Times New Roman" w:hAnsi="Times New Roman" w:cs="Times New Roman"/>
          <w:b/>
          <w:sz w:val="24"/>
          <w:szCs w:val="24"/>
        </w:rPr>
        <w:t>Climate Change and Human health</w:t>
      </w:r>
    </w:p>
    <w:p w14:paraId="008F6AA3" w14:textId="77777777" w:rsidR="00A40531" w:rsidRDefault="00A40531" w:rsidP="00A40531">
      <w:pPr>
        <w:pStyle w:val="NoSpacing"/>
        <w:spacing w:line="276" w:lineRule="auto"/>
        <w:rPr>
          <w:rFonts w:ascii="Times New Roman" w:hAnsi="Times New Roman" w:cs="Times New Roman"/>
          <w:sz w:val="24"/>
          <w:szCs w:val="24"/>
        </w:rPr>
      </w:pPr>
    </w:p>
    <w:p w14:paraId="18FA9CD9" w14:textId="605CB9BD" w:rsidR="00A40531" w:rsidRDefault="00A40531" w:rsidP="00A40531">
      <w:pPr>
        <w:pStyle w:val="NoSpacing"/>
        <w:numPr>
          <w:ilvl w:val="0"/>
          <w:numId w:val="14"/>
        </w:numPr>
        <w:spacing w:line="276" w:lineRule="auto"/>
        <w:rPr>
          <w:rFonts w:ascii="Times New Roman" w:hAnsi="Times New Roman" w:cs="Times New Roman"/>
          <w:sz w:val="24"/>
          <w:szCs w:val="24"/>
        </w:rPr>
      </w:pPr>
      <w:r>
        <w:rPr>
          <w:rFonts w:ascii="Times New Roman" w:hAnsi="Times New Roman" w:cs="Times New Roman"/>
          <w:b/>
          <w:sz w:val="24"/>
          <w:szCs w:val="24"/>
        </w:rPr>
        <w:t>P</w:t>
      </w:r>
      <w:r w:rsidRPr="001C7616">
        <w:rPr>
          <w:rFonts w:ascii="Times New Roman" w:hAnsi="Times New Roman" w:cs="Times New Roman"/>
          <w:b/>
          <w:sz w:val="24"/>
          <w:szCs w:val="24"/>
        </w:rPr>
        <w:t xml:space="preserve">age 31 and Table </w:t>
      </w:r>
      <w:r>
        <w:rPr>
          <w:rFonts w:ascii="Times New Roman" w:hAnsi="Times New Roman" w:cs="Times New Roman"/>
          <w:sz w:val="24"/>
          <w:szCs w:val="24"/>
        </w:rPr>
        <w:t xml:space="preserve">  p. 31. Lines 8-10.   The text suggests that Table 1 shows health conditions that are associated with increased risk from climate change related exposures.  For this table, the statement could be interpreted to mean that such health conditions as </w:t>
      </w:r>
      <w:r>
        <w:rPr>
          <w:rFonts w:ascii="Times New Roman" w:hAnsi="Times New Roman" w:cs="Times New Roman"/>
          <w:sz w:val="24"/>
          <w:szCs w:val="24"/>
        </w:rPr>
        <w:lastRenderedPageBreak/>
        <w:t xml:space="preserve">Alzheimer’s </w:t>
      </w:r>
      <w:r w:rsidR="002702D4">
        <w:rPr>
          <w:rFonts w:ascii="Times New Roman" w:hAnsi="Times New Roman" w:cs="Times New Roman"/>
          <w:sz w:val="24"/>
          <w:szCs w:val="24"/>
        </w:rPr>
        <w:t>disease</w:t>
      </w:r>
      <w:r>
        <w:rPr>
          <w:rFonts w:ascii="Times New Roman" w:hAnsi="Times New Roman" w:cs="Times New Roman"/>
          <w:sz w:val="24"/>
          <w:szCs w:val="24"/>
        </w:rPr>
        <w:t xml:space="preserve"> increase from climate change exposures.  This table and the associated table caption should be edited to indicate that it is a table of health conditions and those populations with these conditions are at increased vulnerability to adverse effects associated with climate change.   </w:t>
      </w:r>
    </w:p>
    <w:p w14:paraId="615FFC0F" w14:textId="77777777" w:rsidR="00A40531" w:rsidRDefault="00A40531" w:rsidP="00A40531">
      <w:pPr>
        <w:pStyle w:val="NoSpacing"/>
        <w:spacing w:line="276" w:lineRule="auto"/>
        <w:rPr>
          <w:rFonts w:ascii="Times New Roman" w:hAnsi="Times New Roman" w:cs="Times New Roman"/>
          <w:sz w:val="24"/>
          <w:szCs w:val="24"/>
        </w:rPr>
      </w:pPr>
    </w:p>
    <w:p w14:paraId="3A55BEE0" w14:textId="77777777" w:rsidR="00A40531" w:rsidRDefault="00A40531" w:rsidP="00A40531">
      <w:pPr>
        <w:pStyle w:val="NoSpacing"/>
        <w:numPr>
          <w:ilvl w:val="0"/>
          <w:numId w:val="13"/>
        </w:numPr>
        <w:spacing w:line="276" w:lineRule="auto"/>
        <w:rPr>
          <w:rFonts w:ascii="Times New Roman" w:hAnsi="Times New Roman" w:cs="Times New Roman"/>
          <w:sz w:val="24"/>
          <w:szCs w:val="24"/>
        </w:rPr>
      </w:pPr>
      <w:r w:rsidRPr="004164C2">
        <w:rPr>
          <w:rFonts w:ascii="Times New Roman" w:hAnsi="Times New Roman" w:cs="Times New Roman"/>
          <w:b/>
          <w:sz w:val="24"/>
          <w:szCs w:val="24"/>
        </w:rPr>
        <w:t>Pages 37-38</w:t>
      </w:r>
      <w:r>
        <w:rPr>
          <w:rFonts w:ascii="Times New Roman" w:hAnsi="Times New Roman" w:cs="Times New Roman"/>
          <w:sz w:val="24"/>
          <w:szCs w:val="24"/>
        </w:rPr>
        <w:t>.  The uncertainty and likelihood estimates for each key finding are based on expert judgment of the lead authors for the chapters.   That should also be clearly stated in the ES along with (in appendix) some information on the judges and their expertise.</w:t>
      </w:r>
      <w:r w:rsidRPr="00685B46">
        <w:rPr>
          <w:rFonts w:ascii="Times New Roman" w:hAnsi="Times New Roman" w:cs="Times New Roman"/>
          <w:sz w:val="24"/>
          <w:szCs w:val="24"/>
        </w:rPr>
        <w:t xml:space="preserve"> </w:t>
      </w:r>
      <w:r w:rsidRPr="001C7616">
        <w:rPr>
          <w:rFonts w:ascii="Times New Roman" w:hAnsi="Times New Roman" w:cs="Times New Roman"/>
          <w:sz w:val="24"/>
          <w:szCs w:val="24"/>
        </w:rPr>
        <w:t xml:space="preserve">While the approach used to quantify uncertainty in the report is discussed briefly on pages 37-38, the methodology should be briefly discussed in the Exec. Summary to clarify </w:t>
      </w:r>
      <w:r>
        <w:rPr>
          <w:rFonts w:ascii="Times New Roman" w:hAnsi="Times New Roman" w:cs="Times New Roman"/>
          <w:sz w:val="24"/>
          <w:szCs w:val="24"/>
        </w:rPr>
        <w:t>this for the reader.</w:t>
      </w:r>
      <w:r w:rsidRPr="001C7616">
        <w:rPr>
          <w:rFonts w:ascii="Times New Roman" w:hAnsi="Times New Roman" w:cs="Times New Roman"/>
          <w:sz w:val="24"/>
          <w:szCs w:val="24"/>
        </w:rPr>
        <w:t xml:space="preserve">   </w:t>
      </w:r>
    </w:p>
    <w:p w14:paraId="06887D6E" w14:textId="77777777" w:rsidR="00A40531" w:rsidRDefault="00A40531" w:rsidP="00A40531">
      <w:pPr>
        <w:pStyle w:val="NoSpacing"/>
        <w:spacing w:line="276" w:lineRule="auto"/>
        <w:rPr>
          <w:rFonts w:ascii="Times New Roman" w:hAnsi="Times New Roman" w:cs="Times New Roman"/>
          <w:sz w:val="24"/>
          <w:szCs w:val="24"/>
        </w:rPr>
      </w:pPr>
    </w:p>
    <w:p w14:paraId="3D40A793" w14:textId="77777777" w:rsidR="00A40531" w:rsidRPr="004164C2" w:rsidRDefault="00A40531" w:rsidP="00A40531">
      <w:pPr>
        <w:pStyle w:val="NoSpacing"/>
        <w:spacing w:line="276" w:lineRule="auto"/>
        <w:rPr>
          <w:rFonts w:ascii="Times New Roman" w:hAnsi="Times New Roman" w:cs="Times New Roman"/>
          <w:b/>
          <w:sz w:val="24"/>
          <w:szCs w:val="24"/>
        </w:rPr>
      </w:pPr>
      <w:r w:rsidRPr="004164C2">
        <w:rPr>
          <w:rFonts w:ascii="Times New Roman" w:hAnsi="Times New Roman" w:cs="Times New Roman"/>
          <w:b/>
          <w:sz w:val="24"/>
          <w:szCs w:val="24"/>
        </w:rPr>
        <w:t>Chapter 4 – Vector borne Diseases</w:t>
      </w:r>
    </w:p>
    <w:p w14:paraId="7469783C" w14:textId="77777777" w:rsidR="00A40531" w:rsidRDefault="00A40531" w:rsidP="00A40531">
      <w:pPr>
        <w:pStyle w:val="NoSpacing"/>
        <w:spacing w:line="276" w:lineRule="auto"/>
        <w:rPr>
          <w:rFonts w:ascii="Times New Roman" w:hAnsi="Times New Roman" w:cs="Times New Roman"/>
          <w:sz w:val="24"/>
          <w:szCs w:val="24"/>
        </w:rPr>
      </w:pPr>
    </w:p>
    <w:p w14:paraId="0D367ABB" w14:textId="77777777" w:rsidR="00A40531" w:rsidRDefault="00A40531" w:rsidP="00A40531">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Page 123: According to Chapter 1, which describes the approach for quantifying uncertainty, </w:t>
      </w:r>
      <w:r w:rsidRPr="001C7616">
        <w:rPr>
          <w:rFonts w:ascii="Times New Roman" w:hAnsi="Times New Roman" w:cs="Times New Roman"/>
          <w:sz w:val="24"/>
          <w:szCs w:val="24"/>
        </w:rPr>
        <w:t>likelihood is supposed to range from “</w:t>
      </w:r>
      <w:r>
        <w:rPr>
          <w:rFonts w:ascii="Times New Roman" w:hAnsi="Times New Roman" w:cs="Times New Roman"/>
          <w:sz w:val="24"/>
          <w:szCs w:val="24"/>
        </w:rPr>
        <w:t xml:space="preserve">very </w:t>
      </w:r>
      <w:r w:rsidRPr="001C7616">
        <w:rPr>
          <w:rFonts w:ascii="Times New Roman" w:hAnsi="Times New Roman" w:cs="Times New Roman"/>
          <w:sz w:val="24"/>
          <w:szCs w:val="24"/>
        </w:rPr>
        <w:t xml:space="preserve">unlikely to very likely”.  </w:t>
      </w:r>
    </w:p>
    <w:p w14:paraId="7E0EFED1" w14:textId="77777777" w:rsidR="00A40531" w:rsidRDefault="00A40531" w:rsidP="00A40531">
      <w:pPr>
        <w:pStyle w:val="NoSpacing"/>
        <w:spacing w:line="276" w:lineRule="auto"/>
        <w:ind w:left="720"/>
        <w:rPr>
          <w:rFonts w:ascii="Times New Roman" w:hAnsi="Times New Roman" w:cs="Times New Roman"/>
          <w:sz w:val="24"/>
          <w:szCs w:val="24"/>
        </w:rPr>
      </w:pPr>
      <w:r w:rsidRPr="001C7616">
        <w:rPr>
          <w:rFonts w:ascii="Times New Roman" w:hAnsi="Times New Roman" w:cs="Times New Roman"/>
          <w:sz w:val="24"/>
          <w:szCs w:val="24"/>
        </w:rPr>
        <w:t xml:space="preserve">However, on page 123, line 15, the term “extremely likely” is used. </w:t>
      </w:r>
    </w:p>
    <w:p w14:paraId="1D3289D6" w14:textId="77777777" w:rsidR="00A40531" w:rsidRDefault="00A40531" w:rsidP="00A40531">
      <w:pPr>
        <w:pStyle w:val="NoSpacing"/>
        <w:spacing w:line="276" w:lineRule="auto"/>
        <w:rPr>
          <w:rFonts w:ascii="Times New Roman" w:hAnsi="Times New Roman" w:cs="Times New Roman"/>
          <w:sz w:val="24"/>
          <w:szCs w:val="24"/>
        </w:rPr>
      </w:pPr>
    </w:p>
    <w:p w14:paraId="36DE9A54" w14:textId="21070E6A" w:rsidR="00A40531" w:rsidRDefault="00A40531" w:rsidP="00A40531">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Chapter</w:t>
      </w:r>
      <w:r w:rsidRPr="00685B46">
        <w:rPr>
          <w:rFonts w:ascii="Times New Roman" w:hAnsi="Times New Roman" w:cs="Times New Roman"/>
          <w:b/>
          <w:sz w:val="24"/>
          <w:szCs w:val="24"/>
        </w:rPr>
        <w:t xml:space="preserve"> 5 - Water borne illness risk</w:t>
      </w:r>
      <w:r>
        <w:rPr>
          <w:rFonts w:ascii="Times New Roman" w:hAnsi="Times New Roman" w:cs="Times New Roman"/>
          <w:sz w:val="24"/>
          <w:szCs w:val="24"/>
        </w:rPr>
        <w:t xml:space="preserve"> </w:t>
      </w:r>
    </w:p>
    <w:p w14:paraId="38E0C446" w14:textId="77777777" w:rsidR="002909BE" w:rsidRDefault="002909BE" w:rsidP="002909BE">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Whole chapter - The Chapter title in Table of Contents is Water-Related Illness (and in the header for Chapter 5); however the subheading is about “waterborne illness”.  And some of the discussion, arguably, is about really about food borne illness from ingesting aquatic organisms (e.g. Ciguaterra).   And key finding 3 is about water infrastructure failure.   This mixture of topics, issues, and nomenclature, makes it difficult to follow the relationship between climate and public health since these are distinct concerns.  Given the disparate topics covered in this Chapter, suggest using the term water-related illness throughout as a more apt description.   </w:t>
      </w:r>
    </w:p>
    <w:p w14:paraId="422DA43D" w14:textId="77777777" w:rsidR="00280A0A" w:rsidRDefault="00280A0A" w:rsidP="00991875">
      <w:pPr>
        <w:pStyle w:val="NoSpacing"/>
        <w:spacing w:line="276" w:lineRule="auto"/>
        <w:ind w:left="720"/>
        <w:rPr>
          <w:rFonts w:ascii="Times New Roman" w:hAnsi="Times New Roman" w:cs="Times New Roman"/>
          <w:sz w:val="24"/>
          <w:szCs w:val="24"/>
        </w:rPr>
      </w:pPr>
    </w:p>
    <w:p w14:paraId="5D541A06" w14:textId="26C0B919" w:rsidR="002909BE" w:rsidRPr="002909BE" w:rsidRDefault="002909BE">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Whole chapter - The water infrastructure and public health section also covers a range of potential sources and exposure pathways including water, wastewater, and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concerns. We strongly recommend that the authors rewrite chapter 5 so as to separate the public health impacts due to contact with recreational water,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runoff or standing water from those impacts that are due to the exposure to contaminated drinking water. </w:t>
      </w:r>
    </w:p>
    <w:p w14:paraId="7E7740ED" w14:textId="77777777" w:rsidR="002909BE" w:rsidRDefault="002909BE" w:rsidP="00991875">
      <w:pPr>
        <w:pStyle w:val="NoSpacing"/>
        <w:spacing w:line="276" w:lineRule="auto"/>
        <w:rPr>
          <w:rFonts w:ascii="Times New Roman" w:hAnsi="Times New Roman" w:cs="Times New Roman"/>
          <w:sz w:val="24"/>
          <w:szCs w:val="24"/>
        </w:rPr>
      </w:pPr>
    </w:p>
    <w:p w14:paraId="14D35C37" w14:textId="213B049A" w:rsidR="00A40531" w:rsidRDefault="00280A0A" w:rsidP="0003633E">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Whole chapter - </w:t>
      </w:r>
      <w:r w:rsidR="004A56E5">
        <w:rPr>
          <w:rFonts w:ascii="Times New Roman" w:hAnsi="Times New Roman" w:cs="Times New Roman"/>
          <w:sz w:val="24"/>
          <w:szCs w:val="24"/>
        </w:rPr>
        <w:t xml:space="preserve">Overall-the Chapter would be improved by: </w:t>
      </w:r>
      <w:r w:rsidR="002702D4">
        <w:rPr>
          <w:rFonts w:ascii="Times New Roman" w:hAnsi="Times New Roman" w:cs="Times New Roman"/>
          <w:sz w:val="24"/>
          <w:szCs w:val="24"/>
        </w:rPr>
        <w:t>Moving the</w:t>
      </w:r>
      <w:r w:rsidR="004A56E5">
        <w:rPr>
          <w:rFonts w:ascii="Times New Roman" w:hAnsi="Times New Roman" w:cs="Times New Roman"/>
          <w:sz w:val="24"/>
          <w:szCs w:val="24"/>
        </w:rPr>
        <w:t xml:space="preserve"> discussion of extreme events and impacts on water infrastructure to Chapter 7. </w:t>
      </w:r>
      <w:r w:rsidR="007F265A">
        <w:rPr>
          <w:rFonts w:ascii="Times New Roman" w:hAnsi="Times New Roman" w:cs="Times New Roman"/>
          <w:sz w:val="24"/>
          <w:szCs w:val="24"/>
        </w:rPr>
        <w:t>In addition, t</w:t>
      </w:r>
      <w:r w:rsidR="007F265A">
        <w:rPr>
          <w:rFonts w:ascii="Times New Roman" w:hAnsi="Times New Roman" w:cs="Times New Roman"/>
          <w:sz w:val="24"/>
          <w:szCs w:val="24"/>
        </w:rPr>
        <w:t xml:space="preserve">he secondary affects of climate change on infrastructure failure should also be discussed in chapter 7, extreme events. In addition, this discussion should make a distinction between </w:t>
      </w:r>
      <w:r w:rsidR="007F265A">
        <w:rPr>
          <w:rFonts w:ascii="Times New Roman" w:hAnsi="Times New Roman" w:cs="Times New Roman"/>
          <w:sz w:val="24"/>
          <w:szCs w:val="24"/>
        </w:rPr>
        <w:lastRenderedPageBreak/>
        <w:t>the secondary effects to drinking water, wastewater or storm water infrastructure because the impacts to the public health risk will differ.</w:t>
      </w:r>
    </w:p>
    <w:p w14:paraId="45AED574" w14:textId="2A99374B" w:rsidR="00280A0A" w:rsidRDefault="00280A0A" w:rsidP="00280A0A">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Whole chapter - The Chapter should also clearly distinguish and provide an assessment of the certainty and likelihood of climate change impacts on public health due to the </w:t>
      </w:r>
      <w:r w:rsidR="002702D4">
        <w:rPr>
          <w:rFonts w:ascii="Times New Roman" w:hAnsi="Times New Roman" w:cs="Times New Roman"/>
          <w:sz w:val="24"/>
          <w:szCs w:val="24"/>
        </w:rPr>
        <w:t>following:</w:t>
      </w:r>
      <w:r>
        <w:rPr>
          <w:rFonts w:ascii="Times New Roman" w:hAnsi="Times New Roman" w:cs="Times New Roman"/>
          <w:sz w:val="24"/>
          <w:szCs w:val="24"/>
        </w:rPr>
        <w:t xml:space="preserve"> direct exposure to pathogens in drinking water</w:t>
      </w:r>
      <w:r w:rsidR="002702D4">
        <w:rPr>
          <w:rFonts w:ascii="Times New Roman" w:hAnsi="Times New Roman" w:cs="Times New Roman"/>
          <w:sz w:val="24"/>
          <w:szCs w:val="24"/>
        </w:rPr>
        <w:t>; direct</w:t>
      </w:r>
      <w:r>
        <w:rPr>
          <w:rFonts w:ascii="Times New Roman" w:hAnsi="Times New Roman" w:cs="Times New Roman"/>
          <w:sz w:val="24"/>
          <w:szCs w:val="24"/>
        </w:rPr>
        <w:t xml:space="preserve"> exposures from pathogens due to direct contact with surface </w:t>
      </w:r>
      <w:r w:rsidR="002702D4">
        <w:rPr>
          <w:rFonts w:ascii="Times New Roman" w:hAnsi="Times New Roman" w:cs="Times New Roman"/>
          <w:sz w:val="24"/>
          <w:szCs w:val="24"/>
        </w:rPr>
        <w:t>water for</w:t>
      </w:r>
      <w:r>
        <w:rPr>
          <w:rFonts w:ascii="Times New Roman" w:hAnsi="Times New Roman" w:cs="Times New Roman"/>
          <w:sz w:val="24"/>
          <w:szCs w:val="24"/>
        </w:rPr>
        <w:t xml:space="preserve"> recreational purposes</w:t>
      </w:r>
      <w:r w:rsidR="002702D4">
        <w:rPr>
          <w:rFonts w:ascii="Times New Roman" w:hAnsi="Times New Roman" w:cs="Times New Roman"/>
          <w:sz w:val="24"/>
          <w:szCs w:val="24"/>
        </w:rPr>
        <w:t>, and</w:t>
      </w:r>
      <w:r>
        <w:rPr>
          <w:rFonts w:ascii="Times New Roman" w:hAnsi="Times New Roman" w:cs="Times New Roman"/>
          <w:sz w:val="24"/>
          <w:szCs w:val="24"/>
        </w:rPr>
        <w:t xml:space="preserve"> due to ingestion of freshwater/marine aquatic organisms (e.g. Ciguaterra, brevotoxins, </w:t>
      </w:r>
      <w:r w:rsidR="002702D4">
        <w:rPr>
          <w:rFonts w:ascii="Times New Roman" w:hAnsi="Times New Roman" w:cs="Times New Roman"/>
          <w:sz w:val="24"/>
          <w:szCs w:val="24"/>
        </w:rPr>
        <w:t>etc.</w:t>
      </w:r>
      <w:r>
        <w:rPr>
          <w:rFonts w:ascii="Times New Roman" w:hAnsi="Times New Roman" w:cs="Times New Roman"/>
          <w:sz w:val="24"/>
          <w:szCs w:val="24"/>
        </w:rPr>
        <w:t xml:space="preserve">).    </w:t>
      </w:r>
    </w:p>
    <w:p w14:paraId="26F5B6D6" w14:textId="77777777" w:rsidR="00280A0A" w:rsidRDefault="00280A0A" w:rsidP="00280A0A">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Whole chapter: We recommend that this chapter separate the discussion of drinking water served by PWS with private, untreated groundwater wells. In addition, we recommend that the authors describe in more detail the relationship between climate change and ground water quality. </w:t>
      </w:r>
    </w:p>
    <w:p w14:paraId="3710966D" w14:textId="702C4B01" w:rsidR="007F265A" w:rsidRPr="007F265A" w:rsidRDefault="007F265A">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P. 163, Line 9 Key finding 2, Recommend separating drinking water from recreational water issues, as these are distinct concerns that are sometimes confused by the study authors.  </w:t>
      </w:r>
    </w:p>
    <w:p w14:paraId="6A57B641" w14:textId="51924A1E" w:rsidR="00C80E3E" w:rsidRDefault="00A40531" w:rsidP="009671B2">
      <w:pPr>
        <w:pStyle w:val="NoSpacing"/>
        <w:numPr>
          <w:ilvl w:val="0"/>
          <w:numId w:val="13"/>
        </w:numPr>
        <w:spacing w:line="276" w:lineRule="auto"/>
        <w:rPr>
          <w:rFonts w:ascii="Times New Roman" w:hAnsi="Times New Roman" w:cs="Times New Roman"/>
          <w:sz w:val="24"/>
          <w:szCs w:val="24"/>
        </w:rPr>
      </w:pPr>
      <w:r w:rsidRPr="000C5653">
        <w:rPr>
          <w:rFonts w:ascii="Times New Roman" w:hAnsi="Times New Roman" w:cs="Times New Roman"/>
          <w:sz w:val="24"/>
          <w:szCs w:val="24"/>
        </w:rPr>
        <w:t>Key finding 2—</w:t>
      </w:r>
      <w:r>
        <w:rPr>
          <w:rFonts w:ascii="Times New Roman" w:hAnsi="Times New Roman" w:cs="Times New Roman"/>
          <w:sz w:val="24"/>
          <w:szCs w:val="24"/>
        </w:rPr>
        <w:t xml:space="preserve">According to the text, </w:t>
      </w:r>
      <w:r w:rsidRPr="000C5653">
        <w:rPr>
          <w:rFonts w:ascii="Times New Roman" w:hAnsi="Times New Roman" w:cs="Times New Roman"/>
          <w:sz w:val="24"/>
          <w:szCs w:val="24"/>
        </w:rPr>
        <w:t>90% of the U.S. is served by a public water system (which has to meet all SDWA quality and d</w:t>
      </w:r>
      <w:r>
        <w:rPr>
          <w:rFonts w:ascii="Times New Roman" w:hAnsi="Times New Roman" w:cs="Times New Roman"/>
          <w:sz w:val="24"/>
          <w:szCs w:val="24"/>
        </w:rPr>
        <w:t xml:space="preserve">isinfection requirements), and </w:t>
      </w:r>
      <w:r w:rsidRPr="000C5653">
        <w:rPr>
          <w:rFonts w:ascii="Times New Roman" w:hAnsi="Times New Roman" w:cs="Times New Roman"/>
          <w:sz w:val="24"/>
          <w:szCs w:val="24"/>
        </w:rPr>
        <w:t xml:space="preserve">as noted on p. 169   lines 23-25-“ if drinking water is appropriately treated, climate change is not expected to increase the risk of contracting a water-related illness”.  </w:t>
      </w:r>
      <w:r>
        <w:rPr>
          <w:rFonts w:ascii="Times New Roman" w:hAnsi="Times New Roman" w:cs="Times New Roman"/>
          <w:sz w:val="24"/>
          <w:szCs w:val="24"/>
        </w:rPr>
        <w:t>That should be called o</w:t>
      </w:r>
      <w:r w:rsidRPr="000C5653">
        <w:rPr>
          <w:rFonts w:ascii="Times New Roman" w:hAnsi="Times New Roman" w:cs="Times New Roman"/>
          <w:sz w:val="24"/>
          <w:szCs w:val="24"/>
        </w:rPr>
        <w:t>ut as a key finding and brought up front to the ES</w:t>
      </w:r>
      <w:r>
        <w:rPr>
          <w:rFonts w:ascii="Times New Roman" w:hAnsi="Times New Roman" w:cs="Times New Roman"/>
          <w:sz w:val="24"/>
          <w:szCs w:val="24"/>
        </w:rPr>
        <w:t>.</w:t>
      </w:r>
      <w:r w:rsidR="009671B2">
        <w:rPr>
          <w:rFonts w:ascii="Times New Roman" w:hAnsi="Times New Roman" w:cs="Times New Roman"/>
          <w:sz w:val="24"/>
          <w:szCs w:val="24"/>
        </w:rPr>
        <w:t xml:space="preserve"> </w:t>
      </w:r>
      <w:r w:rsidR="0082102C">
        <w:rPr>
          <w:rFonts w:ascii="Times New Roman" w:hAnsi="Times New Roman" w:cs="Times New Roman"/>
          <w:sz w:val="24"/>
          <w:szCs w:val="24"/>
        </w:rPr>
        <w:t>Specifically, we recommend that this statement become Key finding 3 and the current Key finding about infrastructure be moved to Chapter 7 on Extreme events.</w:t>
      </w:r>
    </w:p>
    <w:p w14:paraId="24D07C12" w14:textId="77777777" w:rsidR="00280A0A" w:rsidRDefault="00280A0A" w:rsidP="00280A0A">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Page 164-Table 1.  This table includes a number of pathogens where the waterborne exposure route is listed as “Drinking Water (esp. untreated)”.   As the authors point out on page 169, if drinking water is appropriately treated, climate change is not expected to substantially increase the risk of contracting a water-related illness.    Suggest that these sections of Table 1 be modified so that the exposure route is listed as “untreated drinking and surface waters” rather than Drinking Water (esp. untreated).     The text should also recognize the efforts of the water sector under the SDWA and CWA to build additional barriers and treatment systems and to build more resilient water and wastewater systems to reduce these exposure pathway risks.  </w:t>
      </w:r>
    </w:p>
    <w:p w14:paraId="5F3FAD76" w14:textId="77777777" w:rsidR="00280A0A" w:rsidRDefault="00280A0A" w:rsidP="0003633E">
      <w:pPr>
        <w:pStyle w:val="NoSpacing"/>
        <w:spacing w:line="276" w:lineRule="auto"/>
        <w:ind w:left="720"/>
        <w:rPr>
          <w:rFonts w:ascii="Times New Roman" w:hAnsi="Times New Roman" w:cs="Times New Roman"/>
          <w:sz w:val="24"/>
          <w:szCs w:val="24"/>
        </w:rPr>
      </w:pPr>
    </w:p>
    <w:p w14:paraId="20AA7A38" w14:textId="4D81AEB3" w:rsidR="006C211F" w:rsidRPr="0003633E" w:rsidRDefault="002702D4" w:rsidP="006C211F">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Section 5.4.1 P. 168 </w:t>
      </w:r>
      <w:r w:rsidR="007F265A" w:rsidRPr="007F265A">
        <w:rPr>
          <w:rFonts w:ascii="Times New Roman" w:hAnsi="Times New Roman" w:cs="Times New Roman"/>
          <w:sz w:val="24"/>
          <w:szCs w:val="24"/>
        </w:rPr>
        <w:t xml:space="preserve">The text notes, “Drinking water can be both treated and untreated”. </w:t>
      </w:r>
      <w:r w:rsidR="007F265A">
        <w:rPr>
          <w:rFonts w:ascii="Times New Roman" w:hAnsi="Times New Roman" w:cs="Times New Roman"/>
          <w:sz w:val="24"/>
          <w:szCs w:val="24"/>
        </w:rPr>
        <w:t>We r</w:t>
      </w:r>
      <w:r w:rsidR="006C211F" w:rsidRPr="006B6F61">
        <w:rPr>
          <w:rFonts w:ascii="Times New Roman" w:hAnsi="Times New Roman" w:cs="Times New Roman"/>
          <w:sz w:val="24"/>
          <w:szCs w:val="24"/>
        </w:rPr>
        <w:t xml:space="preserve">ecommend that the </w:t>
      </w:r>
      <w:r w:rsidR="006C211F" w:rsidRPr="002702D4">
        <w:rPr>
          <w:rFonts w:ascii="Times New Roman" w:hAnsi="Times New Roman" w:cs="Times New Roman"/>
          <w:sz w:val="24"/>
          <w:szCs w:val="24"/>
        </w:rPr>
        <w:t xml:space="preserve">next sentence clarify that public drinking water systems provide TREATED potable water to 90% of Americans. </w:t>
      </w:r>
      <w:r w:rsidR="006C211F" w:rsidRPr="00702A43">
        <w:rPr>
          <w:rFonts w:ascii="Times New Roman" w:hAnsi="Times New Roman" w:cs="Times New Roman"/>
          <w:sz w:val="24"/>
          <w:szCs w:val="24"/>
        </w:rPr>
        <w:t xml:space="preserve">In addition, this section should point out up front that PWS will </w:t>
      </w:r>
      <w:r w:rsidR="006C211F" w:rsidRPr="006B6F61">
        <w:rPr>
          <w:rFonts w:ascii="Times New Roman" w:hAnsi="Times New Roman" w:cs="Times New Roman"/>
          <w:sz w:val="24"/>
          <w:szCs w:val="24"/>
        </w:rPr>
        <w:t xml:space="preserve">respond to climate change induced threats to water quality (such </w:t>
      </w:r>
      <w:r w:rsidR="006C211F" w:rsidRPr="0003633E">
        <w:rPr>
          <w:rFonts w:ascii="Times New Roman" w:hAnsi="Times New Roman" w:cs="Times New Roman"/>
          <w:sz w:val="24"/>
          <w:szCs w:val="24"/>
        </w:rPr>
        <w:t xml:space="preserve">as increased turbidity due to </w:t>
      </w:r>
      <w:r w:rsidRPr="002702D4">
        <w:rPr>
          <w:rFonts w:ascii="Times New Roman" w:hAnsi="Times New Roman" w:cs="Times New Roman"/>
          <w:sz w:val="24"/>
          <w:szCs w:val="24"/>
        </w:rPr>
        <w:t>storms) by</w:t>
      </w:r>
      <w:r w:rsidR="006C211F" w:rsidRPr="0003633E">
        <w:rPr>
          <w:rFonts w:ascii="Times New Roman" w:hAnsi="Times New Roman" w:cs="Times New Roman"/>
          <w:sz w:val="24"/>
          <w:szCs w:val="24"/>
        </w:rPr>
        <w:t xml:space="preserve"> treating the water to comply with the SDWA, even at greater cost. This is not clear, as the text often mixes the two kinds of systems (</w:t>
      </w:r>
      <w:r w:rsidR="00F769DC">
        <w:rPr>
          <w:rFonts w:ascii="Times New Roman" w:hAnsi="Times New Roman" w:cs="Times New Roman"/>
          <w:sz w:val="24"/>
          <w:szCs w:val="24"/>
        </w:rPr>
        <w:t xml:space="preserve">i.e., </w:t>
      </w:r>
      <w:r w:rsidR="006C211F" w:rsidRPr="0003633E">
        <w:rPr>
          <w:rFonts w:ascii="Times New Roman" w:hAnsi="Times New Roman" w:cs="Times New Roman"/>
          <w:sz w:val="24"/>
          <w:szCs w:val="24"/>
        </w:rPr>
        <w:t xml:space="preserve">PWS and untreated, private ground water wells). </w:t>
      </w:r>
    </w:p>
    <w:p w14:paraId="589CA1EE" w14:textId="5E3BBBA2" w:rsidR="00C80E3E" w:rsidRPr="006B6F61" w:rsidRDefault="00C80E3E" w:rsidP="0003633E">
      <w:pPr>
        <w:pStyle w:val="NoSpacing"/>
        <w:spacing w:line="276" w:lineRule="auto"/>
        <w:ind w:left="720"/>
        <w:rPr>
          <w:rFonts w:ascii="Times New Roman" w:hAnsi="Times New Roman" w:cs="Times New Roman"/>
          <w:sz w:val="24"/>
          <w:szCs w:val="24"/>
        </w:rPr>
      </w:pPr>
    </w:p>
    <w:p w14:paraId="29B48EC1" w14:textId="0317F647" w:rsidR="00A40531" w:rsidRPr="005A222C" w:rsidRDefault="00280A0A" w:rsidP="00A40531">
      <w:pPr>
        <w:pStyle w:val="NoSpacing"/>
        <w:numPr>
          <w:ilvl w:val="0"/>
          <w:numId w:val="13"/>
        </w:numPr>
        <w:spacing w:line="276" w:lineRule="auto"/>
        <w:rPr>
          <w:rFonts w:ascii="Times New Roman" w:hAnsi="Times New Roman" w:cs="Times New Roman"/>
          <w:sz w:val="24"/>
          <w:szCs w:val="24"/>
        </w:rPr>
      </w:pPr>
      <w:r w:rsidRPr="002702D4">
        <w:rPr>
          <w:rFonts w:ascii="Times New Roman" w:hAnsi="Times New Roman" w:cs="Times New Roman"/>
          <w:sz w:val="24"/>
          <w:szCs w:val="24"/>
        </w:rPr>
        <w:t xml:space="preserve">P. </w:t>
      </w:r>
      <w:r w:rsidR="002723D7">
        <w:rPr>
          <w:rFonts w:ascii="Times New Roman" w:hAnsi="Times New Roman" w:cs="Times New Roman"/>
          <w:sz w:val="24"/>
          <w:szCs w:val="24"/>
        </w:rPr>
        <w:t>183, line 22</w:t>
      </w:r>
      <w:r w:rsidRPr="002702D4">
        <w:rPr>
          <w:rFonts w:ascii="Times New Roman" w:hAnsi="Times New Roman" w:cs="Times New Roman"/>
          <w:sz w:val="24"/>
          <w:szCs w:val="24"/>
        </w:rPr>
        <w:t xml:space="preserve"> </w:t>
      </w:r>
      <w:r w:rsidR="002723D7">
        <w:rPr>
          <w:rFonts w:ascii="Times New Roman" w:hAnsi="Times New Roman" w:cs="Times New Roman"/>
          <w:sz w:val="24"/>
          <w:szCs w:val="24"/>
        </w:rPr>
        <w:t xml:space="preserve">-184: </w:t>
      </w:r>
      <w:r w:rsidR="00A40531" w:rsidRPr="002702D4">
        <w:rPr>
          <w:rFonts w:ascii="Times New Roman" w:hAnsi="Times New Roman" w:cs="Times New Roman"/>
          <w:sz w:val="24"/>
          <w:szCs w:val="24"/>
        </w:rPr>
        <w:t xml:space="preserve">Key Finding 3 suggests that damage to </w:t>
      </w:r>
      <w:r w:rsidRPr="006B6F61">
        <w:rPr>
          <w:rFonts w:ascii="Times New Roman" w:hAnsi="Times New Roman" w:cs="Times New Roman"/>
          <w:sz w:val="24"/>
          <w:szCs w:val="24"/>
        </w:rPr>
        <w:t xml:space="preserve">or a breakdown in </w:t>
      </w:r>
      <w:r w:rsidR="00A40531" w:rsidRPr="006B6F61">
        <w:rPr>
          <w:rFonts w:ascii="Times New Roman" w:hAnsi="Times New Roman" w:cs="Times New Roman"/>
          <w:sz w:val="24"/>
          <w:szCs w:val="24"/>
        </w:rPr>
        <w:t>water</w:t>
      </w:r>
      <w:r w:rsidR="00A40531" w:rsidRPr="005A222C">
        <w:rPr>
          <w:rFonts w:ascii="Times New Roman" w:hAnsi="Times New Roman" w:cs="Times New Roman"/>
          <w:sz w:val="24"/>
          <w:szCs w:val="24"/>
        </w:rPr>
        <w:t xml:space="preserve"> infrastructure “could contribute to increased risk of exposure to water related pathogens, chemicals and algal toxins. </w:t>
      </w:r>
      <w:r>
        <w:rPr>
          <w:rFonts w:ascii="Times New Roman" w:hAnsi="Times New Roman" w:cs="Times New Roman"/>
          <w:sz w:val="24"/>
          <w:szCs w:val="24"/>
        </w:rPr>
        <w:t>This finding should be edited to clarify that the concern here is not with treated drinking water, but with direct contact with flood waters that are contaminated, and potentially, the lack of access to treated water (say if the roads, power, and other utilities are cut off.  The other concern would be lack of water, because the water utility is not capable of delivering treated water due to infrastructure failure.  Some of the examples cited are process system issues and failure to provide an extra disinfection barrier to address protozoan risks (a problem since corrected under the LT2ESWTR and the GWR, respectively.  All public water supplies</w:t>
      </w:r>
      <w:r w:rsidR="00A40531" w:rsidRPr="005A222C">
        <w:rPr>
          <w:rFonts w:ascii="Times New Roman" w:hAnsi="Times New Roman" w:cs="Times New Roman"/>
          <w:sz w:val="24"/>
          <w:szCs w:val="24"/>
        </w:rPr>
        <w:t xml:space="preserve"> meet all SDWA requirements for quality and disinfection even after infrastructure is damaged</w:t>
      </w:r>
      <w:r w:rsidR="00A40531">
        <w:rPr>
          <w:rFonts w:ascii="Times New Roman" w:hAnsi="Times New Roman" w:cs="Times New Roman"/>
          <w:sz w:val="24"/>
          <w:szCs w:val="24"/>
        </w:rPr>
        <w:t xml:space="preserve"> (per item above)</w:t>
      </w:r>
      <w:r w:rsidR="00A40531" w:rsidRPr="005A222C">
        <w:rPr>
          <w:rFonts w:ascii="Times New Roman" w:hAnsi="Times New Roman" w:cs="Times New Roman"/>
          <w:sz w:val="24"/>
          <w:szCs w:val="24"/>
        </w:rPr>
        <w:t xml:space="preserve">. </w:t>
      </w:r>
      <w:r>
        <w:rPr>
          <w:rFonts w:ascii="Times New Roman" w:hAnsi="Times New Roman" w:cs="Times New Roman"/>
          <w:sz w:val="24"/>
          <w:szCs w:val="24"/>
        </w:rPr>
        <w:t>If the plant is damaged or vulnerable</w:t>
      </w:r>
      <w:r w:rsidRPr="005A222C" w:rsidDel="00280A0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A40531" w:rsidRPr="005A222C">
        <w:rPr>
          <w:rFonts w:ascii="Times New Roman" w:hAnsi="Times New Roman" w:cs="Times New Roman"/>
          <w:sz w:val="24"/>
          <w:szCs w:val="24"/>
        </w:rPr>
        <w:t xml:space="preserve">risk is instead that the water plant will shut down for a period of time, as occurred following several hurricanes and flooding events, </w:t>
      </w:r>
      <w:r>
        <w:rPr>
          <w:rFonts w:ascii="Times New Roman" w:hAnsi="Times New Roman" w:cs="Times New Roman"/>
          <w:sz w:val="24"/>
          <w:szCs w:val="24"/>
        </w:rPr>
        <w:t>and it will be the</w:t>
      </w:r>
      <w:r w:rsidR="00A40531" w:rsidRPr="005A222C">
        <w:rPr>
          <w:rFonts w:ascii="Times New Roman" w:hAnsi="Times New Roman" w:cs="Times New Roman"/>
          <w:sz w:val="24"/>
          <w:szCs w:val="24"/>
        </w:rPr>
        <w:t xml:space="preserve"> lack of </w:t>
      </w:r>
      <w:r>
        <w:rPr>
          <w:rFonts w:ascii="Times New Roman" w:hAnsi="Times New Roman" w:cs="Times New Roman"/>
          <w:sz w:val="24"/>
          <w:szCs w:val="24"/>
        </w:rPr>
        <w:t xml:space="preserve">potable </w:t>
      </w:r>
      <w:r w:rsidR="007C0A27">
        <w:rPr>
          <w:rFonts w:ascii="Times New Roman" w:hAnsi="Times New Roman" w:cs="Times New Roman"/>
          <w:sz w:val="24"/>
          <w:szCs w:val="24"/>
        </w:rPr>
        <w:t xml:space="preserve">drinking </w:t>
      </w:r>
      <w:r w:rsidR="00A40531" w:rsidRPr="005A222C">
        <w:rPr>
          <w:rFonts w:ascii="Times New Roman" w:hAnsi="Times New Roman" w:cs="Times New Roman"/>
          <w:sz w:val="24"/>
          <w:szCs w:val="24"/>
        </w:rPr>
        <w:t xml:space="preserve">water </w:t>
      </w:r>
      <w:r w:rsidR="007C0A27">
        <w:rPr>
          <w:rFonts w:ascii="Times New Roman" w:hAnsi="Times New Roman" w:cs="Times New Roman"/>
          <w:sz w:val="24"/>
          <w:szCs w:val="24"/>
        </w:rPr>
        <w:t xml:space="preserve">(and public fire protection) </w:t>
      </w:r>
      <w:r w:rsidR="00A40531" w:rsidRPr="005A222C">
        <w:rPr>
          <w:rFonts w:ascii="Times New Roman" w:hAnsi="Times New Roman" w:cs="Times New Roman"/>
          <w:sz w:val="24"/>
          <w:szCs w:val="24"/>
        </w:rPr>
        <w:t xml:space="preserve">or more costly water </w:t>
      </w:r>
      <w:r>
        <w:rPr>
          <w:rFonts w:ascii="Times New Roman" w:hAnsi="Times New Roman" w:cs="Times New Roman"/>
          <w:sz w:val="24"/>
          <w:szCs w:val="24"/>
        </w:rPr>
        <w:t>that will be t</w:t>
      </w:r>
      <w:r w:rsidRPr="005A222C">
        <w:rPr>
          <w:rFonts w:ascii="Times New Roman" w:hAnsi="Times New Roman" w:cs="Times New Roman"/>
          <w:sz w:val="24"/>
          <w:szCs w:val="24"/>
        </w:rPr>
        <w:t xml:space="preserve">he </w:t>
      </w:r>
      <w:r w:rsidR="00A40531" w:rsidRPr="005A222C">
        <w:rPr>
          <w:rFonts w:ascii="Times New Roman" w:hAnsi="Times New Roman" w:cs="Times New Roman"/>
          <w:sz w:val="24"/>
          <w:szCs w:val="24"/>
        </w:rPr>
        <w:t xml:space="preserve">stressor associated with infrastructure damage.  </w:t>
      </w:r>
      <w:r w:rsidR="00881D90">
        <w:rPr>
          <w:rFonts w:ascii="Times New Roman" w:hAnsi="Times New Roman" w:cs="Times New Roman"/>
          <w:sz w:val="24"/>
          <w:szCs w:val="24"/>
        </w:rPr>
        <w:t>This key finding should be clarified and moved to Chapter 7.</w:t>
      </w:r>
    </w:p>
    <w:p w14:paraId="0ED53BBD" w14:textId="494FAED3" w:rsidR="00A40531" w:rsidRDefault="002723D7" w:rsidP="00A40531">
      <w:pPr>
        <w:pStyle w:val="NoSpacing"/>
        <w:numPr>
          <w:ilvl w:val="0"/>
          <w:numId w:val="13"/>
        </w:numPr>
        <w:spacing w:line="276" w:lineRule="auto"/>
        <w:rPr>
          <w:rFonts w:ascii="Times New Roman" w:hAnsi="Times New Roman" w:cs="Times New Roman"/>
          <w:sz w:val="24"/>
          <w:szCs w:val="24"/>
        </w:rPr>
      </w:pPr>
      <w:r w:rsidRPr="002702D4">
        <w:rPr>
          <w:rFonts w:ascii="Times New Roman" w:hAnsi="Times New Roman" w:cs="Times New Roman"/>
          <w:sz w:val="24"/>
          <w:szCs w:val="24"/>
        </w:rPr>
        <w:t xml:space="preserve">P. </w:t>
      </w:r>
      <w:r>
        <w:rPr>
          <w:rFonts w:ascii="Times New Roman" w:hAnsi="Times New Roman" w:cs="Times New Roman"/>
          <w:sz w:val="24"/>
          <w:szCs w:val="24"/>
        </w:rPr>
        <w:t>183, line 22</w:t>
      </w:r>
      <w:r w:rsidRPr="002702D4">
        <w:rPr>
          <w:rFonts w:ascii="Times New Roman" w:hAnsi="Times New Roman" w:cs="Times New Roman"/>
          <w:sz w:val="24"/>
          <w:szCs w:val="24"/>
        </w:rPr>
        <w:t xml:space="preserve"> </w:t>
      </w:r>
      <w:r>
        <w:rPr>
          <w:rFonts w:ascii="Times New Roman" w:hAnsi="Times New Roman" w:cs="Times New Roman"/>
          <w:sz w:val="24"/>
          <w:szCs w:val="24"/>
        </w:rPr>
        <w:t>-184</w:t>
      </w:r>
      <w:r w:rsidR="00A40531">
        <w:rPr>
          <w:rFonts w:ascii="Times New Roman" w:hAnsi="Times New Roman" w:cs="Times New Roman"/>
          <w:sz w:val="24"/>
          <w:szCs w:val="24"/>
        </w:rPr>
        <w:t>– Key Finding 3 - T</w:t>
      </w:r>
      <w:r w:rsidR="00A40531" w:rsidRPr="000C5653">
        <w:rPr>
          <w:rFonts w:ascii="Times New Roman" w:hAnsi="Times New Roman" w:cs="Times New Roman"/>
          <w:sz w:val="24"/>
          <w:szCs w:val="24"/>
        </w:rPr>
        <w:t xml:space="preserve">he text also discusses that breakdowns in water treatment systems, compounded by aging infrastructure, could lead to more serious consequences that we experience now.   That statement is true, whether or not there is climate change.  </w:t>
      </w:r>
      <w:r w:rsidR="002702D4" w:rsidRPr="000C5653">
        <w:rPr>
          <w:rFonts w:ascii="Times New Roman" w:hAnsi="Times New Roman" w:cs="Times New Roman"/>
          <w:sz w:val="24"/>
          <w:szCs w:val="24"/>
        </w:rPr>
        <w:t xml:space="preserve">For a PWS, the most serious consequence of infrastructure failure is not so much a breakdown of the system, but the lack of </w:t>
      </w:r>
      <w:r w:rsidR="002702D4">
        <w:rPr>
          <w:rFonts w:ascii="Times New Roman" w:hAnsi="Times New Roman" w:cs="Times New Roman"/>
          <w:sz w:val="24"/>
          <w:szCs w:val="24"/>
        </w:rPr>
        <w:t xml:space="preserve">treated drinking </w:t>
      </w:r>
      <w:r w:rsidR="002702D4" w:rsidRPr="000C5653">
        <w:rPr>
          <w:rFonts w:ascii="Times New Roman" w:hAnsi="Times New Roman" w:cs="Times New Roman"/>
          <w:sz w:val="24"/>
          <w:szCs w:val="24"/>
        </w:rPr>
        <w:t>water</w:t>
      </w:r>
      <w:r w:rsidR="002702D4">
        <w:rPr>
          <w:rFonts w:ascii="Times New Roman" w:hAnsi="Times New Roman" w:cs="Times New Roman"/>
          <w:sz w:val="24"/>
          <w:szCs w:val="24"/>
        </w:rPr>
        <w:t>, when the water treatment plant has to shut down because it cannot deliver potable water of sufficiently high quality</w:t>
      </w:r>
      <w:r w:rsidR="002702D4" w:rsidRPr="000C5653">
        <w:rPr>
          <w:rFonts w:ascii="Times New Roman" w:hAnsi="Times New Roman" w:cs="Times New Roman"/>
          <w:sz w:val="24"/>
          <w:szCs w:val="24"/>
        </w:rPr>
        <w:t xml:space="preserve">.   </w:t>
      </w:r>
      <w:r w:rsidR="00A40531" w:rsidRPr="000C5653">
        <w:rPr>
          <w:rFonts w:ascii="Times New Roman" w:hAnsi="Times New Roman" w:cs="Times New Roman"/>
          <w:sz w:val="24"/>
          <w:szCs w:val="24"/>
        </w:rPr>
        <w:t>Given significant treatment or so</w:t>
      </w:r>
      <w:r w:rsidR="00A40531">
        <w:rPr>
          <w:rFonts w:ascii="Times New Roman" w:hAnsi="Times New Roman" w:cs="Times New Roman"/>
          <w:sz w:val="24"/>
          <w:szCs w:val="24"/>
        </w:rPr>
        <w:t xml:space="preserve">urce water issues attributable </w:t>
      </w:r>
      <w:r w:rsidR="00A40531" w:rsidRPr="000C5653">
        <w:rPr>
          <w:rFonts w:ascii="Times New Roman" w:hAnsi="Times New Roman" w:cs="Times New Roman"/>
          <w:sz w:val="24"/>
          <w:szCs w:val="24"/>
        </w:rPr>
        <w:t xml:space="preserve">to excessive flooding (turbidity) or </w:t>
      </w:r>
      <w:r w:rsidR="00A40531">
        <w:rPr>
          <w:rFonts w:ascii="Times New Roman" w:hAnsi="Times New Roman" w:cs="Times New Roman"/>
          <w:sz w:val="24"/>
          <w:szCs w:val="24"/>
        </w:rPr>
        <w:t xml:space="preserve">an </w:t>
      </w:r>
      <w:r w:rsidR="00A40531" w:rsidRPr="000C5653">
        <w:rPr>
          <w:rFonts w:ascii="Times New Roman" w:hAnsi="Times New Roman" w:cs="Times New Roman"/>
          <w:sz w:val="24"/>
          <w:szCs w:val="24"/>
        </w:rPr>
        <w:t>inability to meet SDWA requirements, the risk to people and vulnerable populations is that the water system will have to shut down the treatment plant altogether and people will have to find an alternative supply and at higher cost and</w:t>
      </w:r>
      <w:r w:rsidR="007C0A27">
        <w:rPr>
          <w:rFonts w:ascii="Times New Roman" w:hAnsi="Times New Roman" w:cs="Times New Roman"/>
          <w:sz w:val="24"/>
          <w:szCs w:val="24"/>
        </w:rPr>
        <w:t xml:space="preserve"> as a result of this</w:t>
      </w:r>
      <w:r w:rsidR="00A40531" w:rsidRPr="000C5653">
        <w:rPr>
          <w:rFonts w:ascii="Times New Roman" w:hAnsi="Times New Roman" w:cs="Times New Roman"/>
          <w:sz w:val="24"/>
          <w:szCs w:val="24"/>
        </w:rPr>
        <w:t xml:space="preserve"> reduced reliability</w:t>
      </w:r>
      <w:r w:rsidR="007C0A27">
        <w:rPr>
          <w:rFonts w:ascii="Times New Roman" w:hAnsi="Times New Roman" w:cs="Times New Roman"/>
          <w:sz w:val="24"/>
          <w:szCs w:val="24"/>
        </w:rPr>
        <w:t xml:space="preserve"> will also lose public fire protection</w:t>
      </w:r>
      <w:r w:rsidR="00A40531" w:rsidRPr="000C5653">
        <w:rPr>
          <w:rFonts w:ascii="Times New Roman" w:hAnsi="Times New Roman" w:cs="Times New Roman"/>
          <w:sz w:val="24"/>
          <w:szCs w:val="24"/>
        </w:rPr>
        <w:t xml:space="preserve">. </w:t>
      </w:r>
      <w:r w:rsidR="00884BFA">
        <w:rPr>
          <w:rFonts w:ascii="Times New Roman" w:hAnsi="Times New Roman" w:cs="Times New Roman"/>
          <w:sz w:val="24"/>
          <w:szCs w:val="24"/>
        </w:rPr>
        <w:t>–</w:t>
      </w:r>
      <w:r w:rsidR="00C80E3E">
        <w:rPr>
          <w:rFonts w:ascii="Times New Roman" w:hAnsi="Times New Roman" w:cs="Times New Roman"/>
          <w:sz w:val="24"/>
          <w:szCs w:val="24"/>
        </w:rPr>
        <w:t xml:space="preserve"> </w:t>
      </w:r>
      <w:r w:rsidR="00884BFA">
        <w:rPr>
          <w:rFonts w:ascii="Times New Roman" w:hAnsi="Times New Roman" w:cs="Times New Roman"/>
          <w:sz w:val="24"/>
          <w:szCs w:val="24"/>
        </w:rPr>
        <w:t>This occurred in several locations during Hurricanes Irene and Lee.</w:t>
      </w:r>
    </w:p>
    <w:p w14:paraId="5CD32D1D" w14:textId="56F0430D" w:rsidR="00884BFA" w:rsidRDefault="00884BFA" w:rsidP="00A40531">
      <w:pPr>
        <w:pStyle w:val="NoSpacing"/>
        <w:numPr>
          <w:ilvl w:val="0"/>
          <w:numId w:val="13"/>
        </w:numPr>
        <w:spacing w:line="276" w:lineRule="auto"/>
        <w:rPr>
          <w:rFonts w:ascii="Times New Roman" w:hAnsi="Times New Roman" w:cs="Times New Roman"/>
          <w:sz w:val="24"/>
          <w:szCs w:val="24"/>
        </w:rPr>
      </w:pPr>
      <w:r w:rsidRPr="00696B43">
        <w:rPr>
          <w:rFonts w:ascii="Times New Roman" w:hAnsi="Times New Roman" w:cs="Times New Roman"/>
          <w:sz w:val="24"/>
          <w:szCs w:val="24"/>
        </w:rPr>
        <w:t xml:space="preserve"> </w:t>
      </w:r>
      <w:r w:rsidR="002702D4" w:rsidRPr="00696B43">
        <w:rPr>
          <w:rFonts w:ascii="Times New Roman" w:hAnsi="Times New Roman" w:cs="Times New Roman"/>
          <w:sz w:val="24"/>
          <w:szCs w:val="24"/>
        </w:rPr>
        <w:t>183 line</w:t>
      </w:r>
      <w:r w:rsidR="002723D7">
        <w:rPr>
          <w:rFonts w:ascii="Times New Roman" w:hAnsi="Times New Roman" w:cs="Times New Roman"/>
          <w:sz w:val="24"/>
          <w:szCs w:val="24"/>
        </w:rPr>
        <w:t>s</w:t>
      </w:r>
      <w:r>
        <w:rPr>
          <w:rFonts w:ascii="Times New Roman" w:hAnsi="Times New Roman" w:cs="Times New Roman"/>
          <w:sz w:val="24"/>
          <w:szCs w:val="24"/>
        </w:rPr>
        <w:t xml:space="preserve"> 10</w:t>
      </w:r>
      <w:r w:rsidR="002723D7">
        <w:rPr>
          <w:rFonts w:ascii="Times New Roman" w:hAnsi="Times New Roman" w:cs="Times New Roman"/>
          <w:sz w:val="24"/>
          <w:szCs w:val="24"/>
        </w:rPr>
        <w:t>-20</w:t>
      </w:r>
      <w:r>
        <w:rPr>
          <w:rFonts w:ascii="Times New Roman" w:hAnsi="Times New Roman" w:cs="Times New Roman"/>
          <w:sz w:val="24"/>
          <w:szCs w:val="24"/>
        </w:rPr>
        <w:t>: “</w:t>
      </w:r>
      <w:r w:rsidRPr="00696B43">
        <w:rPr>
          <w:rFonts w:ascii="Times New Roman" w:hAnsi="Times New Roman" w:cs="Times New Roman"/>
          <w:sz w:val="24"/>
          <w:szCs w:val="24"/>
        </w:rPr>
        <w:t>The assessment of confidence and likelihood based on evidence</w:t>
      </w:r>
      <w:r>
        <w:rPr>
          <w:rFonts w:ascii="Times New Roman" w:hAnsi="Times New Roman" w:cs="Times New Roman"/>
          <w:sz w:val="24"/>
          <w:szCs w:val="24"/>
        </w:rPr>
        <w:t>” should be modified</w:t>
      </w:r>
      <w:r w:rsidRPr="00696B43">
        <w:rPr>
          <w:rFonts w:ascii="Times New Roman" w:hAnsi="Times New Roman" w:cs="Times New Roman"/>
          <w:sz w:val="24"/>
          <w:szCs w:val="24"/>
        </w:rPr>
        <w:t xml:space="preserve"> to distinguish drinking water from recreational waters.    It is probably correct to state that the confidence is high that increasing frequency or intensity of extreme precipitation will compromise recreational waters and </w:t>
      </w:r>
      <w:r>
        <w:rPr>
          <w:rFonts w:ascii="Times New Roman" w:hAnsi="Times New Roman" w:cs="Times New Roman"/>
          <w:sz w:val="24"/>
          <w:szCs w:val="24"/>
        </w:rPr>
        <w:t>drinking water sources with pathogens,</w:t>
      </w:r>
      <w:r w:rsidRPr="00696B43">
        <w:rPr>
          <w:rFonts w:ascii="Times New Roman" w:hAnsi="Times New Roman" w:cs="Times New Roman"/>
          <w:sz w:val="24"/>
          <w:szCs w:val="24"/>
        </w:rPr>
        <w:t xml:space="preserve"> etc.   However, as noted on page 169, if drinking water is appropriately treated, climate change is not expected to increase the risk of a water re</w:t>
      </w:r>
      <w:r>
        <w:rPr>
          <w:rFonts w:ascii="Times New Roman" w:hAnsi="Times New Roman" w:cs="Times New Roman"/>
          <w:sz w:val="24"/>
          <w:szCs w:val="24"/>
        </w:rPr>
        <w:t>lated illness.   And generally,</w:t>
      </w:r>
      <w:r w:rsidRPr="00696B43">
        <w:rPr>
          <w:rFonts w:ascii="Times New Roman" w:hAnsi="Times New Roman" w:cs="Times New Roman"/>
          <w:sz w:val="24"/>
          <w:szCs w:val="24"/>
        </w:rPr>
        <w:t xml:space="preserve"> it should be noted that if not appropriately treated, the utility will have to notify the public, and shut down or issue a boil water advisory</w:t>
      </w:r>
      <w:r>
        <w:rPr>
          <w:rFonts w:ascii="Times New Roman" w:hAnsi="Times New Roman" w:cs="Times New Roman"/>
          <w:sz w:val="24"/>
          <w:szCs w:val="24"/>
        </w:rPr>
        <w:t xml:space="preserve"> </w:t>
      </w:r>
      <w:r w:rsidRPr="00696B43">
        <w:rPr>
          <w:rFonts w:ascii="Times New Roman" w:hAnsi="Times New Roman" w:cs="Times New Roman"/>
          <w:sz w:val="24"/>
          <w:szCs w:val="24"/>
        </w:rPr>
        <w:t xml:space="preserve">to ensure </w:t>
      </w:r>
      <w:r>
        <w:rPr>
          <w:rFonts w:ascii="Times New Roman" w:hAnsi="Times New Roman" w:cs="Times New Roman"/>
          <w:sz w:val="24"/>
          <w:szCs w:val="24"/>
        </w:rPr>
        <w:t xml:space="preserve">public </w:t>
      </w:r>
      <w:r w:rsidRPr="00696B43">
        <w:rPr>
          <w:rFonts w:ascii="Times New Roman" w:hAnsi="Times New Roman" w:cs="Times New Roman"/>
          <w:sz w:val="24"/>
          <w:szCs w:val="24"/>
        </w:rPr>
        <w:t xml:space="preserve">health </w:t>
      </w:r>
      <w:r>
        <w:rPr>
          <w:rFonts w:ascii="Times New Roman" w:hAnsi="Times New Roman" w:cs="Times New Roman"/>
          <w:sz w:val="24"/>
          <w:szCs w:val="24"/>
        </w:rPr>
        <w:t xml:space="preserve">protection. Given this information and the limited number of studies noted, we recommend that the authors reassess the level of </w:t>
      </w:r>
      <w:r w:rsidRPr="00696B43">
        <w:rPr>
          <w:rFonts w:ascii="Times New Roman" w:hAnsi="Times New Roman" w:cs="Times New Roman"/>
          <w:sz w:val="24"/>
          <w:szCs w:val="24"/>
        </w:rPr>
        <w:t xml:space="preserve">certainty or confidence in climate change affecting </w:t>
      </w:r>
      <w:r>
        <w:rPr>
          <w:rFonts w:ascii="Times New Roman" w:hAnsi="Times New Roman" w:cs="Times New Roman"/>
          <w:sz w:val="24"/>
          <w:szCs w:val="24"/>
        </w:rPr>
        <w:t xml:space="preserve">human exposure risk to water related illness from treated, </w:t>
      </w:r>
      <w:r w:rsidRPr="00696B43">
        <w:rPr>
          <w:rFonts w:ascii="Times New Roman" w:hAnsi="Times New Roman" w:cs="Times New Roman"/>
          <w:sz w:val="24"/>
          <w:szCs w:val="24"/>
        </w:rPr>
        <w:t>potable water than suggested by the text on this page.</w:t>
      </w:r>
    </w:p>
    <w:p w14:paraId="25030678" w14:textId="073C2A66" w:rsidR="00A40531" w:rsidRDefault="00A40531" w:rsidP="00A40531">
      <w:pPr>
        <w:pStyle w:val="NoSpacing"/>
        <w:numPr>
          <w:ilvl w:val="0"/>
          <w:numId w:val="13"/>
        </w:numPr>
        <w:spacing w:line="276" w:lineRule="auto"/>
        <w:rPr>
          <w:rFonts w:ascii="Times New Roman" w:hAnsi="Times New Roman" w:cs="Times New Roman"/>
          <w:sz w:val="24"/>
          <w:szCs w:val="24"/>
        </w:rPr>
      </w:pPr>
      <w:r w:rsidRPr="000C5653">
        <w:rPr>
          <w:rFonts w:ascii="Times New Roman" w:hAnsi="Times New Roman" w:cs="Times New Roman"/>
          <w:sz w:val="24"/>
          <w:szCs w:val="24"/>
        </w:rPr>
        <w:t>p. 183</w:t>
      </w:r>
      <w:r w:rsidR="002723D7">
        <w:rPr>
          <w:rFonts w:ascii="Times New Roman" w:hAnsi="Times New Roman" w:cs="Times New Roman"/>
          <w:sz w:val="24"/>
          <w:szCs w:val="24"/>
        </w:rPr>
        <w:t xml:space="preserve"> line 21 184- 31</w:t>
      </w:r>
      <w:r w:rsidRPr="000C5653">
        <w:rPr>
          <w:rFonts w:ascii="Times New Roman" w:hAnsi="Times New Roman" w:cs="Times New Roman"/>
          <w:sz w:val="24"/>
          <w:szCs w:val="24"/>
        </w:rPr>
        <w:t>.   The discussion is about additional risks due to aging infrastructure and including combined sewers</w:t>
      </w:r>
      <w:r w:rsidR="00613DB4">
        <w:rPr>
          <w:rFonts w:ascii="Times New Roman" w:hAnsi="Times New Roman" w:cs="Times New Roman"/>
          <w:sz w:val="24"/>
          <w:szCs w:val="24"/>
        </w:rPr>
        <w:t>,</w:t>
      </w:r>
      <w:r w:rsidRPr="000C5653">
        <w:rPr>
          <w:rFonts w:ascii="Times New Roman" w:hAnsi="Times New Roman" w:cs="Times New Roman"/>
          <w:sz w:val="24"/>
          <w:szCs w:val="24"/>
        </w:rPr>
        <w:t xml:space="preserve"> which were not designed to handle extreme precipitation events.  And while the point about CSOs is technically correct, the document should reference the billions of dollars that the large Cities are currently investing to make structures more resilient and to plan for and mitigate extreme weather impacts on CSO</w:t>
      </w:r>
      <w:r>
        <w:rPr>
          <w:rFonts w:ascii="Times New Roman" w:hAnsi="Times New Roman" w:cs="Times New Roman"/>
          <w:sz w:val="24"/>
          <w:szCs w:val="24"/>
        </w:rPr>
        <w:t>s</w:t>
      </w:r>
      <w:r w:rsidR="002723D7">
        <w:rPr>
          <w:rFonts w:ascii="Times New Roman" w:hAnsi="Times New Roman" w:cs="Times New Roman"/>
          <w:sz w:val="24"/>
          <w:szCs w:val="24"/>
        </w:rPr>
        <w:t>.</w:t>
      </w:r>
    </w:p>
    <w:p w14:paraId="40E8D92E" w14:textId="55BAB58E" w:rsidR="00C62ABA" w:rsidRPr="00613DB4" w:rsidRDefault="00C62ABA" w:rsidP="00A40531">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Page 168 line 28 – 169 line 31. The multiple barrier approach was simply not employed in the case of Walkerton. As a result of this outbreak as well as the one in Milwaukee, several improvements have been made in the SDWA in the U.S. that strengthen the multiple barrier protections that are implied by the statement “if drinking water is appropriately treated.”</w:t>
      </w:r>
    </w:p>
    <w:p w14:paraId="001BF02E" w14:textId="77777777" w:rsidR="00A40531" w:rsidRDefault="00A40531" w:rsidP="00A40531">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AD9CC3C" w14:textId="63EE9379" w:rsidR="00A40531" w:rsidRDefault="00A40531" w:rsidP="00A40531">
      <w:pPr>
        <w:pStyle w:val="NoSpacing"/>
        <w:spacing w:line="276" w:lineRule="auto"/>
        <w:rPr>
          <w:rFonts w:ascii="Times New Roman" w:hAnsi="Times New Roman" w:cs="Times New Roman"/>
          <w:b/>
          <w:sz w:val="24"/>
          <w:szCs w:val="24"/>
        </w:rPr>
      </w:pPr>
      <w:r w:rsidRPr="00A40531">
        <w:rPr>
          <w:rFonts w:ascii="Times New Roman" w:hAnsi="Times New Roman" w:cs="Times New Roman"/>
          <w:b/>
          <w:sz w:val="24"/>
          <w:szCs w:val="24"/>
        </w:rPr>
        <w:t xml:space="preserve">Chapter 7 – Impacts of Extreme Events on Human Health </w:t>
      </w:r>
    </w:p>
    <w:p w14:paraId="529C8078" w14:textId="77777777" w:rsidR="00A40531" w:rsidRPr="00A40531" w:rsidRDefault="00A40531" w:rsidP="00A40531">
      <w:pPr>
        <w:pStyle w:val="NoSpacing"/>
        <w:spacing w:line="276" w:lineRule="auto"/>
        <w:rPr>
          <w:rFonts w:ascii="Times New Roman" w:hAnsi="Times New Roman" w:cs="Times New Roman"/>
          <w:b/>
          <w:sz w:val="24"/>
          <w:szCs w:val="24"/>
        </w:rPr>
      </w:pPr>
    </w:p>
    <w:p w14:paraId="79E3D52F" w14:textId="10F2B4DE" w:rsidR="00114EF3" w:rsidRDefault="00A40531" w:rsidP="00CA6AF9">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Page</w:t>
      </w:r>
      <w:r w:rsidR="00613DB4">
        <w:rPr>
          <w:rFonts w:ascii="Times New Roman" w:hAnsi="Times New Roman" w:cs="Times New Roman"/>
          <w:sz w:val="24"/>
          <w:szCs w:val="24"/>
        </w:rPr>
        <w:t xml:space="preserve"> </w:t>
      </w:r>
      <w:proofErr w:type="gramStart"/>
      <w:r w:rsidR="00613DB4">
        <w:rPr>
          <w:rFonts w:ascii="Times New Roman" w:hAnsi="Times New Roman" w:cs="Times New Roman"/>
          <w:sz w:val="24"/>
          <w:szCs w:val="24"/>
        </w:rPr>
        <w:t>258</w:t>
      </w:r>
      <w:r>
        <w:rPr>
          <w:rFonts w:ascii="Times New Roman" w:hAnsi="Times New Roman" w:cs="Times New Roman"/>
          <w:sz w:val="24"/>
          <w:szCs w:val="24"/>
        </w:rPr>
        <w:t xml:space="preserve"> </w:t>
      </w:r>
      <w:r w:rsidR="002723D7">
        <w:rPr>
          <w:rFonts w:ascii="Times New Roman" w:hAnsi="Times New Roman" w:cs="Times New Roman"/>
          <w:sz w:val="24"/>
          <w:szCs w:val="24"/>
        </w:rPr>
        <w:t xml:space="preserve"> line</w:t>
      </w:r>
      <w:proofErr w:type="gramEnd"/>
      <w:r w:rsidR="002723D7">
        <w:rPr>
          <w:rFonts w:ascii="Times New Roman" w:hAnsi="Times New Roman" w:cs="Times New Roman"/>
          <w:sz w:val="24"/>
          <w:szCs w:val="24"/>
        </w:rPr>
        <w:t xml:space="preserve"> 9 through 17 </w:t>
      </w:r>
      <w:r>
        <w:rPr>
          <w:rFonts w:ascii="Times New Roman" w:hAnsi="Times New Roman" w:cs="Times New Roman"/>
          <w:sz w:val="24"/>
          <w:szCs w:val="24"/>
        </w:rPr>
        <w:t xml:space="preserve">- </w:t>
      </w:r>
      <w:r w:rsidRPr="00D45743">
        <w:rPr>
          <w:rFonts w:ascii="Times New Roman" w:hAnsi="Times New Roman" w:cs="Times New Roman"/>
          <w:sz w:val="24"/>
          <w:szCs w:val="24"/>
        </w:rPr>
        <w:t xml:space="preserve">The Milwaukee incident was triggered by an extreme precipitation event, and as such it may make sense to include it as an example of a cascading event. However, </w:t>
      </w:r>
      <w:r w:rsidR="00613DB4">
        <w:rPr>
          <w:rFonts w:ascii="Times New Roman" w:hAnsi="Times New Roman" w:cs="Times New Roman"/>
          <w:sz w:val="24"/>
          <w:szCs w:val="24"/>
        </w:rPr>
        <w:t xml:space="preserve">the authors should be careful not to attribute </w:t>
      </w:r>
      <w:r w:rsidR="002723D7">
        <w:rPr>
          <w:rFonts w:ascii="Times New Roman" w:hAnsi="Times New Roman" w:cs="Times New Roman"/>
          <w:sz w:val="24"/>
          <w:szCs w:val="24"/>
        </w:rPr>
        <w:t>this</w:t>
      </w:r>
      <w:r w:rsidR="00613DB4">
        <w:rPr>
          <w:rFonts w:ascii="Times New Roman" w:hAnsi="Times New Roman" w:cs="Times New Roman"/>
          <w:sz w:val="24"/>
          <w:szCs w:val="24"/>
        </w:rPr>
        <w:t xml:space="preserve"> specific event to climate change per se, unless there has been research that has put this event in the context of a changing climate. Rather than tie this event to climate change, this incident points out the need to</w:t>
      </w:r>
      <w:r w:rsidR="00114EF3">
        <w:rPr>
          <w:rFonts w:ascii="Times New Roman" w:hAnsi="Times New Roman" w:cs="Times New Roman"/>
          <w:sz w:val="24"/>
          <w:szCs w:val="24"/>
        </w:rPr>
        <w:t xml:space="preserve"> perform the following activities to protect source waters and the water system as a whole from infrastructure failure:</w:t>
      </w:r>
    </w:p>
    <w:p w14:paraId="3AEE9687" w14:textId="77777777" w:rsidR="00114EF3" w:rsidRDefault="00613DB4" w:rsidP="00991875">
      <w:pPr>
        <w:pStyle w:val="NoSpacing"/>
        <w:numPr>
          <w:ilvl w:val="1"/>
          <w:numId w:val="16"/>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carefully</w:t>
      </w:r>
      <w:proofErr w:type="gramEnd"/>
      <w:r>
        <w:rPr>
          <w:rFonts w:ascii="Times New Roman" w:hAnsi="Times New Roman" w:cs="Times New Roman"/>
          <w:sz w:val="24"/>
          <w:szCs w:val="24"/>
        </w:rPr>
        <w:t xml:space="preserve"> look at water utility operational practices, </w:t>
      </w:r>
    </w:p>
    <w:p w14:paraId="329EA0E3" w14:textId="77777777" w:rsidR="00114EF3" w:rsidRDefault="00613DB4" w:rsidP="00991875">
      <w:pPr>
        <w:pStyle w:val="NoSpacing"/>
        <w:numPr>
          <w:ilvl w:val="1"/>
          <w:numId w:val="16"/>
        </w:num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conduct</w:t>
      </w:r>
      <w:proofErr w:type="gramEnd"/>
      <w:r>
        <w:rPr>
          <w:rFonts w:ascii="Times New Roman" w:hAnsi="Times New Roman" w:cs="Times New Roman"/>
          <w:sz w:val="24"/>
          <w:szCs w:val="24"/>
        </w:rPr>
        <w:t xml:space="preserve"> vulnerability assessments, </w:t>
      </w:r>
    </w:p>
    <w:p w14:paraId="2A294EBC" w14:textId="77777777" w:rsidR="00114EF3" w:rsidRDefault="00613DB4" w:rsidP="00991875">
      <w:pPr>
        <w:pStyle w:val="NoSpacing"/>
        <w:numPr>
          <w:ilvl w:val="1"/>
          <w:numId w:val="16"/>
        </w:num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proc</w:t>
      </w:r>
      <w:r w:rsidR="007C0A27">
        <w:rPr>
          <w:rFonts w:ascii="Times New Roman" w:hAnsi="Times New Roman" w:cs="Times New Roman"/>
          <w:sz w:val="24"/>
          <w:szCs w:val="24"/>
        </w:rPr>
        <w:t>ess</w:t>
      </w:r>
      <w:proofErr w:type="gramEnd"/>
      <w:r w:rsidR="007C0A27">
        <w:rPr>
          <w:rFonts w:ascii="Times New Roman" w:hAnsi="Times New Roman" w:cs="Times New Roman"/>
          <w:sz w:val="24"/>
          <w:szCs w:val="24"/>
        </w:rPr>
        <w:t xml:space="preserve"> system safety assessments, </w:t>
      </w:r>
      <w:r>
        <w:rPr>
          <w:rFonts w:ascii="Times New Roman" w:hAnsi="Times New Roman" w:cs="Times New Roman"/>
          <w:sz w:val="24"/>
          <w:szCs w:val="24"/>
        </w:rPr>
        <w:t xml:space="preserve">and </w:t>
      </w:r>
    </w:p>
    <w:p w14:paraId="1A250B51" w14:textId="4A115575" w:rsidR="00F05126" w:rsidRDefault="00613DB4" w:rsidP="00991875">
      <w:pPr>
        <w:pStyle w:val="NoSpacing"/>
        <w:numPr>
          <w:ilvl w:val="1"/>
          <w:numId w:val="16"/>
        </w:num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engage</w:t>
      </w:r>
      <w:proofErr w:type="gramEnd"/>
      <w:r>
        <w:rPr>
          <w:rFonts w:ascii="Times New Roman" w:hAnsi="Times New Roman" w:cs="Times New Roman"/>
          <w:sz w:val="24"/>
          <w:szCs w:val="24"/>
        </w:rPr>
        <w:t xml:space="preserve"> in watershed management activities</w:t>
      </w:r>
      <w:r w:rsidR="00114EF3">
        <w:rPr>
          <w:rFonts w:ascii="Times New Roman" w:hAnsi="Times New Roman" w:cs="Times New Roman"/>
          <w:sz w:val="24"/>
          <w:szCs w:val="24"/>
        </w:rPr>
        <w:t>.</w:t>
      </w:r>
    </w:p>
    <w:p w14:paraId="73164492" w14:textId="53DEB1BB" w:rsidR="00613DB4" w:rsidRDefault="00613DB4" w:rsidP="00991875">
      <w:pPr>
        <w:pStyle w:val="NoSpacing"/>
        <w:spacing w:line="276" w:lineRule="auto"/>
        <w:ind w:left="1440"/>
        <w:rPr>
          <w:rFonts w:ascii="Times New Roman" w:hAnsi="Times New Roman" w:cs="Times New Roman"/>
          <w:sz w:val="24"/>
          <w:szCs w:val="24"/>
        </w:rPr>
      </w:pPr>
    </w:p>
    <w:p w14:paraId="0B849B97" w14:textId="09CED189" w:rsidR="0083575C" w:rsidRDefault="00613DB4" w:rsidP="00CA6AF9">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Page 258</w:t>
      </w:r>
      <w:r w:rsidR="002723D7">
        <w:rPr>
          <w:rFonts w:ascii="Times New Roman" w:hAnsi="Times New Roman" w:cs="Times New Roman"/>
          <w:sz w:val="24"/>
          <w:szCs w:val="24"/>
        </w:rPr>
        <w:t xml:space="preserve"> line 9 </w:t>
      </w:r>
      <w:proofErr w:type="gramStart"/>
      <w:r w:rsidR="002723D7">
        <w:rPr>
          <w:rFonts w:ascii="Times New Roman" w:hAnsi="Times New Roman" w:cs="Times New Roman"/>
          <w:sz w:val="24"/>
          <w:szCs w:val="24"/>
        </w:rPr>
        <w:t xml:space="preserve">through 17 </w:t>
      </w:r>
      <w:r>
        <w:rPr>
          <w:rFonts w:ascii="Times New Roman" w:hAnsi="Times New Roman" w:cs="Times New Roman"/>
          <w:sz w:val="24"/>
          <w:szCs w:val="24"/>
        </w:rPr>
        <w:t xml:space="preserve"> </w:t>
      </w:r>
      <w:r w:rsidR="009671B2">
        <w:rPr>
          <w:rFonts w:ascii="Times New Roman" w:hAnsi="Times New Roman" w:cs="Times New Roman"/>
          <w:sz w:val="24"/>
          <w:szCs w:val="24"/>
        </w:rPr>
        <w:t>-</w:t>
      </w:r>
      <w:r w:rsidRPr="00D45743">
        <w:rPr>
          <w:rFonts w:ascii="Times New Roman" w:hAnsi="Times New Roman" w:cs="Times New Roman"/>
          <w:sz w:val="24"/>
          <w:szCs w:val="24"/>
        </w:rPr>
        <w:t>The Milwaukee incident</w:t>
      </w:r>
      <w:proofErr w:type="gramEnd"/>
      <w:r w:rsidRPr="00D45743">
        <w:rPr>
          <w:rFonts w:ascii="Times New Roman" w:hAnsi="Times New Roman" w:cs="Times New Roman"/>
          <w:sz w:val="24"/>
          <w:szCs w:val="24"/>
        </w:rPr>
        <w:t xml:space="preserve"> was triggered by an extreme precipitation event, and as such it may </w:t>
      </w:r>
      <w:r>
        <w:rPr>
          <w:rFonts w:ascii="Times New Roman" w:hAnsi="Times New Roman" w:cs="Times New Roman"/>
          <w:sz w:val="24"/>
          <w:szCs w:val="24"/>
        </w:rPr>
        <w:t xml:space="preserve">or may not </w:t>
      </w:r>
      <w:r w:rsidRPr="00D45743">
        <w:rPr>
          <w:rFonts w:ascii="Times New Roman" w:hAnsi="Times New Roman" w:cs="Times New Roman"/>
          <w:sz w:val="24"/>
          <w:szCs w:val="24"/>
        </w:rPr>
        <w:t>make sense to include it as an example</w:t>
      </w:r>
      <w:r>
        <w:rPr>
          <w:rFonts w:ascii="Times New Roman" w:hAnsi="Times New Roman" w:cs="Times New Roman"/>
          <w:sz w:val="24"/>
          <w:szCs w:val="24"/>
        </w:rPr>
        <w:t xml:space="preserve"> of a cascading event per our previous comment</w:t>
      </w:r>
      <w:r w:rsidR="007C0A27">
        <w:rPr>
          <w:rFonts w:ascii="Times New Roman" w:hAnsi="Times New Roman" w:cs="Times New Roman"/>
          <w:sz w:val="24"/>
          <w:szCs w:val="24"/>
        </w:rPr>
        <w:t>.</w:t>
      </w:r>
      <w:r>
        <w:rPr>
          <w:rFonts w:ascii="Times New Roman" w:hAnsi="Times New Roman" w:cs="Times New Roman"/>
          <w:sz w:val="24"/>
          <w:szCs w:val="24"/>
        </w:rPr>
        <w:t xml:space="preserve">  However, </w:t>
      </w:r>
      <w:r w:rsidR="00A40531" w:rsidRPr="00D45743">
        <w:rPr>
          <w:rFonts w:ascii="Times New Roman" w:hAnsi="Times New Roman" w:cs="Times New Roman"/>
          <w:sz w:val="24"/>
          <w:szCs w:val="24"/>
        </w:rPr>
        <w:t xml:space="preserve">as a result of the Milwaukee Cryptosporidium outbreak, EPA mandated additional barriers and procedures to protect against Cryptosporidium and therefore, many of the citations related to the Milwaukee incident </w:t>
      </w:r>
      <w:r w:rsidR="007C0A27">
        <w:rPr>
          <w:rFonts w:ascii="Times New Roman" w:hAnsi="Times New Roman" w:cs="Times New Roman"/>
          <w:sz w:val="24"/>
          <w:szCs w:val="24"/>
        </w:rPr>
        <w:t xml:space="preserve">are </w:t>
      </w:r>
      <w:r w:rsidR="00A40531" w:rsidRPr="00D45743">
        <w:rPr>
          <w:rFonts w:ascii="Times New Roman" w:hAnsi="Times New Roman" w:cs="Times New Roman"/>
          <w:sz w:val="24"/>
          <w:szCs w:val="24"/>
        </w:rPr>
        <w:t>out of date. These improvements in the SDWA multiple barrier approach shou</w:t>
      </w:r>
      <w:r w:rsidR="00A40531">
        <w:rPr>
          <w:rFonts w:ascii="Times New Roman" w:hAnsi="Times New Roman" w:cs="Times New Roman"/>
          <w:sz w:val="24"/>
          <w:szCs w:val="24"/>
        </w:rPr>
        <w:t xml:space="preserve">ld be </w:t>
      </w:r>
      <w:r w:rsidR="000D2188">
        <w:rPr>
          <w:rFonts w:ascii="Times New Roman" w:hAnsi="Times New Roman" w:cs="Times New Roman"/>
          <w:sz w:val="24"/>
          <w:szCs w:val="24"/>
        </w:rPr>
        <w:t>noted.</w:t>
      </w:r>
    </w:p>
    <w:p w14:paraId="031E7E59" w14:textId="77777777" w:rsidR="00CA6AF9" w:rsidRDefault="00CA6AF9" w:rsidP="00A40531">
      <w:pPr>
        <w:pStyle w:val="NoSpacing"/>
        <w:spacing w:line="276" w:lineRule="auto"/>
        <w:rPr>
          <w:rFonts w:ascii="Times New Roman" w:hAnsi="Times New Roman" w:cs="Times New Roman"/>
          <w:sz w:val="24"/>
          <w:szCs w:val="24"/>
        </w:rPr>
      </w:pPr>
    </w:p>
    <w:p w14:paraId="278695FC" w14:textId="12AB130E" w:rsidR="00CA6AF9" w:rsidRDefault="00613DB4" w:rsidP="00CA6AF9">
      <w:pPr>
        <w:pStyle w:val="ListParagraph"/>
        <w:widowControl w:val="0"/>
        <w:numPr>
          <w:ilvl w:val="0"/>
          <w:numId w:val="16"/>
        </w:numPr>
        <w:autoSpaceDE w:val="0"/>
        <w:autoSpaceDN w:val="0"/>
        <w:adjustRightInd w:val="0"/>
        <w:spacing w:after="0" w:line="240" w:lineRule="auto"/>
        <w:rPr>
          <w:rFonts w:ascii="Times New Roman" w:hAnsi="Times New Roman" w:cs="Times New Roman"/>
          <w:sz w:val="24"/>
          <w:szCs w:val="24"/>
        </w:rPr>
      </w:pPr>
      <w:r w:rsidRPr="007C0A27">
        <w:rPr>
          <w:rFonts w:ascii="Times New Roman" w:hAnsi="Times New Roman" w:cs="Times New Roman"/>
          <w:sz w:val="24"/>
          <w:szCs w:val="24"/>
        </w:rPr>
        <w:t>Page 258</w:t>
      </w:r>
      <w:r w:rsidR="00114EF3">
        <w:rPr>
          <w:rFonts w:ascii="Times New Roman" w:hAnsi="Times New Roman" w:cs="Times New Roman"/>
          <w:sz w:val="24"/>
          <w:szCs w:val="24"/>
        </w:rPr>
        <w:t xml:space="preserve"> line 9 through 17</w:t>
      </w:r>
      <w:r w:rsidRPr="007C0A27">
        <w:rPr>
          <w:rFonts w:ascii="Times New Roman" w:hAnsi="Times New Roman" w:cs="Times New Roman"/>
          <w:sz w:val="24"/>
          <w:szCs w:val="24"/>
        </w:rPr>
        <w:t xml:space="preserve"> - </w:t>
      </w:r>
      <w:r w:rsidR="00CA6AF9" w:rsidRPr="007C0A27">
        <w:rPr>
          <w:rFonts w:ascii="Times New Roman" w:hAnsi="Times New Roman" w:cs="Times New Roman"/>
          <w:sz w:val="24"/>
          <w:szCs w:val="24"/>
        </w:rPr>
        <w:t>The Hoxie et al (1997) reference should be updated with the more recent reference from Davis et al. (2009)</w:t>
      </w:r>
      <w:r w:rsidRPr="007C0A27">
        <w:rPr>
          <w:rFonts w:ascii="Times New Roman" w:hAnsi="Times New Roman" w:cs="Times New Roman"/>
          <w:sz w:val="24"/>
          <w:szCs w:val="24"/>
        </w:rPr>
        <w:t>,</w:t>
      </w:r>
      <w:r w:rsidR="00CA6AF9" w:rsidRPr="007C0A27">
        <w:rPr>
          <w:rFonts w:ascii="Times New Roman" w:hAnsi="Times New Roman" w:cs="Times New Roman"/>
          <w:sz w:val="24"/>
          <w:szCs w:val="24"/>
        </w:rPr>
        <w:t xml:space="preserve"> which looked at death certificate data and revised the number of deaths attributable to the outbreak down to 69. Specifically, p. 113 of Davis et al notes,   </w:t>
      </w:r>
      <w:r w:rsidR="00CA6AF9" w:rsidRPr="007C0A27">
        <w:rPr>
          <w:rFonts w:ascii="Times New Roman" w:hAnsi="Times New Roman" w:cs="Times New Roman"/>
          <w:i/>
          <w:iCs/>
          <w:sz w:val="24"/>
          <w:szCs w:val="24"/>
        </w:rPr>
        <w:t>“Based mainly on review of death certificate data, we attributed 69 deaths to this outbreak; most of these were premature deaths among people with AIDS/HIV infection (Hoxie et al., 1997).”</w:t>
      </w:r>
      <w:r w:rsidRPr="007C0A27">
        <w:rPr>
          <w:rFonts w:ascii="Times New Roman" w:hAnsi="Times New Roman" w:cs="Times New Roman"/>
          <w:i/>
          <w:iCs/>
          <w:sz w:val="24"/>
          <w:szCs w:val="24"/>
        </w:rPr>
        <w:t xml:space="preserve"> </w:t>
      </w:r>
      <w:r w:rsidR="00CA6AF9" w:rsidRPr="007C0A27">
        <w:rPr>
          <w:rFonts w:ascii="Times New Roman" w:hAnsi="Times New Roman" w:cs="Times New Roman"/>
          <w:sz w:val="24"/>
          <w:szCs w:val="24"/>
        </w:rPr>
        <w:t>The citation is: Davis, JP, Mac</w:t>
      </w:r>
      <w:r w:rsidRPr="007C0A27">
        <w:rPr>
          <w:rFonts w:ascii="Times New Roman" w:hAnsi="Times New Roman" w:cs="Times New Roman"/>
          <w:sz w:val="24"/>
          <w:szCs w:val="24"/>
        </w:rPr>
        <w:t>Kenzie WR, &amp; Addiss DG (2009). “</w:t>
      </w:r>
      <w:r w:rsidR="00CA6AF9" w:rsidRPr="007C0A27">
        <w:rPr>
          <w:rFonts w:ascii="Times New Roman" w:hAnsi="Times New Roman" w:cs="Times New Roman"/>
          <w:sz w:val="24"/>
          <w:szCs w:val="24"/>
        </w:rPr>
        <w:t>Lessons from the massive waterborne outbreak of Cryptosporid</w:t>
      </w:r>
      <w:r w:rsidRPr="007C0A27">
        <w:rPr>
          <w:rFonts w:ascii="Times New Roman" w:hAnsi="Times New Roman" w:cs="Times New Roman"/>
          <w:sz w:val="24"/>
          <w:szCs w:val="24"/>
        </w:rPr>
        <w:t>ium infections, Milwaukee, 1993”</w:t>
      </w:r>
      <w:r w:rsidR="00CA6AF9" w:rsidRPr="007C0A27">
        <w:rPr>
          <w:rFonts w:ascii="Times New Roman" w:hAnsi="Times New Roman" w:cs="Times New Roman"/>
          <w:sz w:val="24"/>
          <w:szCs w:val="24"/>
        </w:rPr>
        <w:t>. In: Global Issues in Water, Sanitation, and Health</w:t>
      </w:r>
      <w:r w:rsidR="002702D4" w:rsidRPr="007C0A27">
        <w:rPr>
          <w:rFonts w:ascii="Times New Roman" w:hAnsi="Times New Roman" w:cs="Times New Roman"/>
          <w:sz w:val="24"/>
          <w:szCs w:val="24"/>
        </w:rPr>
        <w:t>:</w:t>
      </w:r>
      <w:r w:rsidR="00CA6AF9" w:rsidRPr="007C0A27">
        <w:rPr>
          <w:rFonts w:ascii="Times New Roman" w:hAnsi="Times New Roman" w:cs="Times New Roman"/>
          <w:sz w:val="24"/>
          <w:szCs w:val="24"/>
        </w:rPr>
        <w:t xml:space="preserve"> Washington DC: National Academies Press, pp</w:t>
      </w:r>
      <w:r w:rsidR="009671B2">
        <w:rPr>
          <w:rFonts w:ascii="Times New Roman" w:hAnsi="Times New Roman" w:cs="Times New Roman"/>
          <w:sz w:val="24"/>
          <w:szCs w:val="24"/>
        </w:rPr>
        <w:t>.</w:t>
      </w:r>
      <w:r w:rsidR="00CA6AF9" w:rsidRPr="007C0A27">
        <w:rPr>
          <w:rFonts w:ascii="Times New Roman" w:hAnsi="Times New Roman" w:cs="Times New Roman"/>
          <w:sz w:val="24"/>
          <w:szCs w:val="24"/>
        </w:rPr>
        <w:t xml:space="preserve"> 108-126. Available from: </w:t>
      </w:r>
      <w:hyperlink r:id="rId9" w:history="1">
        <w:r w:rsidR="00CA6AF9" w:rsidRPr="007C0A27">
          <w:rPr>
            <w:rFonts w:ascii="Times New Roman" w:hAnsi="Times New Roman" w:cs="Times New Roman"/>
            <w:color w:val="0B4CB4"/>
            <w:sz w:val="24"/>
            <w:szCs w:val="24"/>
            <w:u w:val="single" w:color="0B4CB4"/>
          </w:rPr>
          <w:t>http://www.ncbi.nlm.nih.gov/books/NBK28462/pdf/TOC.pdf</w:t>
        </w:r>
      </w:hyperlink>
      <w:r w:rsidR="00CA6AF9" w:rsidRPr="007C0A27">
        <w:rPr>
          <w:rFonts w:ascii="Times New Roman" w:hAnsi="Times New Roman" w:cs="Times New Roman"/>
          <w:sz w:val="24"/>
          <w:szCs w:val="24"/>
        </w:rPr>
        <w:t>. [14 January 2014]. </w:t>
      </w:r>
    </w:p>
    <w:p w14:paraId="3A7E3B3D" w14:textId="77777777" w:rsidR="002120CB" w:rsidRPr="0003633E" w:rsidRDefault="002120CB" w:rsidP="0003633E">
      <w:pPr>
        <w:widowControl w:val="0"/>
        <w:autoSpaceDE w:val="0"/>
        <w:autoSpaceDN w:val="0"/>
        <w:adjustRightInd w:val="0"/>
        <w:spacing w:after="0" w:line="240" w:lineRule="auto"/>
        <w:rPr>
          <w:rFonts w:ascii="Times New Roman" w:hAnsi="Times New Roman" w:cs="Times New Roman"/>
          <w:sz w:val="24"/>
          <w:szCs w:val="24"/>
        </w:rPr>
      </w:pPr>
    </w:p>
    <w:p w14:paraId="7DD39EC1" w14:textId="02FF50AA" w:rsidR="002120CB" w:rsidRPr="007C0A27" w:rsidRDefault="002120CB" w:rsidP="00CA6AF9">
      <w:pPr>
        <w:pStyle w:val="ListParagraph"/>
        <w:widowControl w:val="0"/>
        <w:numPr>
          <w:ilvl w:val="0"/>
          <w:numId w:val="1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Text region:</w:t>
      </w:r>
      <w:r w:rsidR="00114EF3">
        <w:rPr>
          <w:rFonts w:ascii="Times New Roman" w:hAnsi="Times New Roman" w:cs="Times New Roman"/>
          <w:sz w:val="24"/>
          <w:szCs w:val="24"/>
        </w:rPr>
        <w:t xml:space="preserve"> Page </w:t>
      </w:r>
      <w:proofErr w:type="gramStart"/>
      <w:r w:rsidR="00114EF3">
        <w:rPr>
          <w:rFonts w:ascii="Times New Roman" w:hAnsi="Times New Roman" w:cs="Times New Roman"/>
          <w:sz w:val="24"/>
          <w:szCs w:val="24"/>
        </w:rPr>
        <w:t>261,</w:t>
      </w:r>
      <w:proofErr w:type="gramEnd"/>
      <w:r w:rsidR="00114EF3">
        <w:rPr>
          <w:rFonts w:ascii="Times New Roman" w:hAnsi="Times New Roman" w:cs="Times New Roman"/>
          <w:sz w:val="24"/>
          <w:szCs w:val="24"/>
        </w:rPr>
        <w:t xml:space="preserve"> line 4  - 264 line 3.</w:t>
      </w:r>
      <w:r>
        <w:rPr>
          <w:rFonts w:ascii="Times New Roman" w:hAnsi="Times New Roman" w:cs="Times New Roman"/>
          <w:sz w:val="24"/>
          <w:szCs w:val="24"/>
        </w:rPr>
        <w:t xml:space="preserve"> Section 7.6. The section on drought (7.6) should be organized to include subsections that call out the health implications related to the different aspects of drought. For example, health impacts associated with less access to water, with vector borne disease and air quality concerns. In addition this section does not address affects of drought on sensitive subpopulations.  Are there data to suggest that there are impacts to people who are unable to cool off in drought, for example, or is this tied to the extreme heat discussion?</w:t>
      </w:r>
    </w:p>
    <w:sectPr w:rsidR="002120CB" w:rsidRPr="007C0A27" w:rsidSect="001C76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ECD1D" w14:textId="77777777" w:rsidR="00C62ABA" w:rsidRDefault="00C62ABA" w:rsidP="00914952">
      <w:pPr>
        <w:spacing w:after="0" w:line="240" w:lineRule="auto"/>
      </w:pPr>
      <w:r>
        <w:separator/>
      </w:r>
    </w:p>
  </w:endnote>
  <w:endnote w:type="continuationSeparator" w:id="0">
    <w:p w14:paraId="0DD3DBE4" w14:textId="77777777" w:rsidR="00C62ABA" w:rsidRDefault="00C62ABA" w:rsidP="0091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DB6C" w14:textId="77777777" w:rsidR="00C62ABA" w:rsidRDefault="00C62ABA" w:rsidP="00CA6A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8521CC" w14:textId="77777777" w:rsidR="00C62ABA" w:rsidRDefault="00C62ABA" w:rsidP="00CA6AF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4B85F" w14:textId="77777777" w:rsidR="00C62ABA" w:rsidRDefault="00C62ABA" w:rsidP="00CA6A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875">
      <w:rPr>
        <w:rStyle w:val="PageNumber"/>
        <w:noProof/>
      </w:rPr>
      <w:t>8</w:t>
    </w:r>
    <w:r>
      <w:rPr>
        <w:rStyle w:val="PageNumber"/>
      </w:rPr>
      <w:fldChar w:fldCharType="end"/>
    </w:r>
  </w:p>
  <w:p w14:paraId="38675D53" w14:textId="77777777" w:rsidR="00C62ABA" w:rsidRDefault="00C62ABA" w:rsidP="00CA6AF9">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297D6" w14:textId="77777777" w:rsidR="002909BE" w:rsidRDefault="002909B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1A5A9" w14:textId="77777777" w:rsidR="00C62ABA" w:rsidRDefault="00C62ABA" w:rsidP="00914952">
      <w:pPr>
        <w:spacing w:after="0" w:line="240" w:lineRule="auto"/>
      </w:pPr>
      <w:r>
        <w:separator/>
      </w:r>
    </w:p>
  </w:footnote>
  <w:footnote w:type="continuationSeparator" w:id="0">
    <w:p w14:paraId="4FBFDEDC" w14:textId="77777777" w:rsidR="00C62ABA" w:rsidRDefault="00C62ABA" w:rsidP="0091495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43122" w14:textId="77777777" w:rsidR="002909BE" w:rsidRDefault="002909B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02656" w14:textId="5699D35E" w:rsidR="00C62ABA" w:rsidRDefault="00C62AB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C3B9B" w14:textId="77777777" w:rsidR="002909BE" w:rsidRDefault="002909B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544"/>
    <w:multiLevelType w:val="hybridMultilevel"/>
    <w:tmpl w:val="5C00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71BAE"/>
    <w:multiLevelType w:val="hybridMultilevel"/>
    <w:tmpl w:val="47248E9E"/>
    <w:lvl w:ilvl="0" w:tplc="CF302546">
      <w:start w:val="1"/>
      <w:numFmt w:val="bullet"/>
      <w:lvlText w:val=""/>
      <w:lvlJc w:val="left"/>
      <w:pPr>
        <w:ind w:left="720" w:hanging="360"/>
      </w:pPr>
      <w:rPr>
        <w:rFonts w:ascii="Symbol" w:hAnsi="Symbol" w:hint="default"/>
      </w:rPr>
    </w:lvl>
    <w:lvl w:ilvl="1" w:tplc="6002969C">
      <w:start w:val="1"/>
      <w:numFmt w:val="bullet"/>
      <w:lvlText w:val="o"/>
      <w:lvlJc w:val="left"/>
      <w:pPr>
        <w:ind w:left="1440" w:hanging="360"/>
      </w:pPr>
      <w:rPr>
        <w:rFonts w:ascii="Courier New" w:hAnsi="Courier New" w:hint="default"/>
      </w:rPr>
    </w:lvl>
    <w:lvl w:ilvl="2" w:tplc="707E16B6">
      <w:start w:val="1"/>
      <w:numFmt w:val="bullet"/>
      <w:lvlText w:val=""/>
      <w:lvlJc w:val="left"/>
      <w:pPr>
        <w:ind w:left="2160" w:hanging="360"/>
      </w:pPr>
      <w:rPr>
        <w:rFonts w:ascii="Wingdings" w:hAnsi="Wingdings" w:hint="default"/>
      </w:rPr>
    </w:lvl>
    <w:lvl w:ilvl="3" w:tplc="860E6CA4">
      <w:start w:val="1"/>
      <w:numFmt w:val="bullet"/>
      <w:lvlText w:val=""/>
      <w:lvlJc w:val="left"/>
      <w:pPr>
        <w:ind w:left="2880" w:hanging="360"/>
      </w:pPr>
      <w:rPr>
        <w:rFonts w:ascii="Symbol" w:hAnsi="Symbol" w:hint="default"/>
      </w:rPr>
    </w:lvl>
    <w:lvl w:ilvl="4" w:tplc="29F28ECA">
      <w:start w:val="1"/>
      <w:numFmt w:val="bullet"/>
      <w:lvlText w:val="o"/>
      <w:lvlJc w:val="left"/>
      <w:pPr>
        <w:ind w:left="3600" w:hanging="360"/>
      </w:pPr>
      <w:rPr>
        <w:rFonts w:ascii="Courier New" w:hAnsi="Courier New" w:hint="default"/>
      </w:rPr>
    </w:lvl>
    <w:lvl w:ilvl="5" w:tplc="82161B7C">
      <w:start w:val="1"/>
      <w:numFmt w:val="bullet"/>
      <w:lvlText w:val=""/>
      <w:lvlJc w:val="left"/>
      <w:pPr>
        <w:ind w:left="4320" w:hanging="360"/>
      </w:pPr>
      <w:rPr>
        <w:rFonts w:ascii="Wingdings" w:hAnsi="Wingdings" w:hint="default"/>
      </w:rPr>
    </w:lvl>
    <w:lvl w:ilvl="6" w:tplc="BC6609A4">
      <w:start w:val="1"/>
      <w:numFmt w:val="bullet"/>
      <w:lvlText w:val=""/>
      <w:lvlJc w:val="left"/>
      <w:pPr>
        <w:ind w:left="5040" w:hanging="360"/>
      </w:pPr>
      <w:rPr>
        <w:rFonts w:ascii="Symbol" w:hAnsi="Symbol" w:hint="default"/>
      </w:rPr>
    </w:lvl>
    <w:lvl w:ilvl="7" w:tplc="5714FE4A">
      <w:start w:val="1"/>
      <w:numFmt w:val="bullet"/>
      <w:lvlText w:val="o"/>
      <w:lvlJc w:val="left"/>
      <w:pPr>
        <w:ind w:left="5760" w:hanging="360"/>
      </w:pPr>
      <w:rPr>
        <w:rFonts w:ascii="Courier New" w:hAnsi="Courier New" w:hint="default"/>
      </w:rPr>
    </w:lvl>
    <w:lvl w:ilvl="8" w:tplc="E216006E">
      <w:start w:val="1"/>
      <w:numFmt w:val="bullet"/>
      <w:lvlText w:val=""/>
      <w:lvlJc w:val="left"/>
      <w:pPr>
        <w:ind w:left="6480" w:hanging="360"/>
      </w:pPr>
      <w:rPr>
        <w:rFonts w:ascii="Wingdings" w:hAnsi="Wingdings" w:hint="default"/>
      </w:rPr>
    </w:lvl>
  </w:abstractNum>
  <w:abstractNum w:abstractNumId="2">
    <w:nsid w:val="0DEE141E"/>
    <w:multiLevelType w:val="hybridMultilevel"/>
    <w:tmpl w:val="FE0CC6A0"/>
    <w:lvl w:ilvl="0" w:tplc="896C6BCC">
      <w:start w:val="1"/>
      <w:numFmt w:val="decimal"/>
      <w:lvlText w:val="%1."/>
      <w:lvlJc w:val="left"/>
      <w:pPr>
        <w:ind w:left="720" w:hanging="360"/>
      </w:pPr>
    </w:lvl>
    <w:lvl w:ilvl="1" w:tplc="F4923866">
      <w:start w:val="1"/>
      <w:numFmt w:val="lowerLetter"/>
      <w:lvlText w:val="%2."/>
      <w:lvlJc w:val="left"/>
      <w:pPr>
        <w:ind w:left="1440" w:hanging="360"/>
      </w:pPr>
    </w:lvl>
    <w:lvl w:ilvl="2" w:tplc="2310849E">
      <w:start w:val="1"/>
      <w:numFmt w:val="lowerRoman"/>
      <w:lvlText w:val="%3."/>
      <w:lvlJc w:val="right"/>
      <w:pPr>
        <w:ind w:left="2160" w:hanging="180"/>
      </w:pPr>
    </w:lvl>
    <w:lvl w:ilvl="3" w:tplc="356A9A46">
      <w:start w:val="1"/>
      <w:numFmt w:val="decimal"/>
      <w:lvlText w:val="%4."/>
      <w:lvlJc w:val="left"/>
      <w:pPr>
        <w:ind w:left="2880" w:hanging="360"/>
      </w:pPr>
    </w:lvl>
    <w:lvl w:ilvl="4" w:tplc="0302B282">
      <w:start w:val="1"/>
      <w:numFmt w:val="lowerLetter"/>
      <w:lvlText w:val="%5."/>
      <w:lvlJc w:val="left"/>
      <w:pPr>
        <w:ind w:left="3600" w:hanging="360"/>
      </w:pPr>
    </w:lvl>
    <w:lvl w:ilvl="5" w:tplc="D03638F4">
      <w:start w:val="1"/>
      <w:numFmt w:val="lowerRoman"/>
      <w:lvlText w:val="%6."/>
      <w:lvlJc w:val="right"/>
      <w:pPr>
        <w:ind w:left="4320" w:hanging="180"/>
      </w:pPr>
    </w:lvl>
    <w:lvl w:ilvl="6" w:tplc="57769FB2">
      <w:start w:val="1"/>
      <w:numFmt w:val="decimal"/>
      <w:lvlText w:val="%7."/>
      <w:lvlJc w:val="left"/>
      <w:pPr>
        <w:ind w:left="5040" w:hanging="360"/>
      </w:pPr>
    </w:lvl>
    <w:lvl w:ilvl="7" w:tplc="F62A554A">
      <w:start w:val="1"/>
      <w:numFmt w:val="lowerLetter"/>
      <w:lvlText w:val="%8."/>
      <w:lvlJc w:val="left"/>
      <w:pPr>
        <w:ind w:left="5760" w:hanging="360"/>
      </w:pPr>
    </w:lvl>
    <w:lvl w:ilvl="8" w:tplc="4A26099A">
      <w:start w:val="1"/>
      <w:numFmt w:val="lowerRoman"/>
      <w:lvlText w:val="%9."/>
      <w:lvlJc w:val="right"/>
      <w:pPr>
        <w:ind w:left="6480" w:hanging="180"/>
      </w:pPr>
    </w:lvl>
  </w:abstractNum>
  <w:abstractNum w:abstractNumId="3">
    <w:nsid w:val="1291027B"/>
    <w:multiLevelType w:val="multilevel"/>
    <w:tmpl w:val="DCCAB0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FC7CED"/>
    <w:multiLevelType w:val="hybridMultilevel"/>
    <w:tmpl w:val="CDDE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A3653"/>
    <w:multiLevelType w:val="hybridMultilevel"/>
    <w:tmpl w:val="4F9C6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44178"/>
    <w:multiLevelType w:val="hybridMultilevel"/>
    <w:tmpl w:val="B9A80F4E"/>
    <w:lvl w:ilvl="0" w:tplc="0CD0E28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270355"/>
    <w:multiLevelType w:val="hybridMultilevel"/>
    <w:tmpl w:val="249AAA7E"/>
    <w:lvl w:ilvl="0" w:tplc="3A32E950">
      <w:start w:val="1"/>
      <w:numFmt w:val="bullet"/>
      <w:lvlText w:val=""/>
      <w:lvlJc w:val="left"/>
      <w:pPr>
        <w:ind w:left="720" w:hanging="360"/>
      </w:pPr>
      <w:rPr>
        <w:rFonts w:ascii="Symbol" w:hAnsi="Symbol" w:hint="default"/>
      </w:rPr>
    </w:lvl>
    <w:lvl w:ilvl="1" w:tplc="270A127C">
      <w:start w:val="1"/>
      <w:numFmt w:val="bullet"/>
      <w:lvlText w:val="o"/>
      <w:lvlJc w:val="left"/>
      <w:pPr>
        <w:ind w:left="1440" w:hanging="360"/>
      </w:pPr>
      <w:rPr>
        <w:rFonts w:ascii="Courier New" w:hAnsi="Courier New" w:hint="default"/>
      </w:rPr>
    </w:lvl>
    <w:lvl w:ilvl="2" w:tplc="82D0D12A">
      <w:start w:val="1"/>
      <w:numFmt w:val="bullet"/>
      <w:lvlText w:val=""/>
      <w:lvlJc w:val="left"/>
      <w:pPr>
        <w:ind w:left="2160" w:hanging="360"/>
      </w:pPr>
      <w:rPr>
        <w:rFonts w:ascii="Wingdings" w:hAnsi="Wingdings" w:hint="default"/>
      </w:rPr>
    </w:lvl>
    <w:lvl w:ilvl="3" w:tplc="AEEC4052">
      <w:start w:val="1"/>
      <w:numFmt w:val="bullet"/>
      <w:lvlText w:val=""/>
      <w:lvlJc w:val="left"/>
      <w:pPr>
        <w:ind w:left="2880" w:hanging="360"/>
      </w:pPr>
      <w:rPr>
        <w:rFonts w:ascii="Symbol" w:hAnsi="Symbol" w:hint="default"/>
      </w:rPr>
    </w:lvl>
    <w:lvl w:ilvl="4" w:tplc="088E7B6A">
      <w:start w:val="1"/>
      <w:numFmt w:val="bullet"/>
      <w:lvlText w:val="o"/>
      <w:lvlJc w:val="left"/>
      <w:pPr>
        <w:ind w:left="3600" w:hanging="360"/>
      </w:pPr>
      <w:rPr>
        <w:rFonts w:ascii="Courier New" w:hAnsi="Courier New" w:hint="default"/>
      </w:rPr>
    </w:lvl>
    <w:lvl w:ilvl="5" w:tplc="159A0714">
      <w:start w:val="1"/>
      <w:numFmt w:val="bullet"/>
      <w:lvlText w:val=""/>
      <w:lvlJc w:val="left"/>
      <w:pPr>
        <w:ind w:left="4320" w:hanging="360"/>
      </w:pPr>
      <w:rPr>
        <w:rFonts w:ascii="Wingdings" w:hAnsi="Wingdings" w:hint="default"/>
      </w:rPr>
    </w:lvl>
    <w:lvl w:ilvl="6" w:tplc="E66AFDBA">
      <w:start w:val="1"/>
      <w:numFmt w:val="bullet"/>
      <w:lvlText w:val=""/>
      <w:lvlJc w:val="left"/>
      <w:pPr>
        <w:ind w:left="5040" w:hanging="360"/>
      </w:pPr>
      <w:rPr>
        <w:rFonts w:ascii="Symbol" w:hAnsi="Symbol" w:hint="default"/>
      </w:rPr>
    </w:lvl>
    <w:lvl w:ilvl="7" w:tplc="92CC0876">
      <w:start w:val="1"/>
      <w:numFmt w:val="bullet"/>
      <w:lvlText w:val="o"/>
      <w:lvlJc w:val="left"/>
      <w:pPr>
        <w:ind w:left="5760" w:hanging="360"/>
      </w:pPr>
      <w:rPr>
        <w:rFonts w:ascii="Courier New" w:hAnsi="Courier New" w:hint="default"/>
      </w:rPr>
    </w:lvl>
    <w:lvl w:ilvl="8" w:tplc="1B5611A6">
      <w:start w:val="1"/>
      <w:numFmt w:val="bullet"/>
      <w:lvlText w:val=""/>
      <w:lvlJc w:val="left"/>
      <w:pPr>
        <w:ind w:left="6480" w:hanging="360"/>
      </w:pPr>
      <w:rPr>
        <w:rFonts w:ascii="Wingdings" w:hAnsi="Wingdings" w:hint="default"/>
      </w:rPr>
    </w:lvl>
  </w:abstractNum>
  <w:abstractNum w:abstractNumId="8">
    <w:nsid w:val="3280185F"/>
    <w:multiLevelType w:val="hybridMultilevel"/>
    <w:tmpl w:val="612EAFA6"/>
    <w:lvl w:ilvl="0" w:tplc="071E4AB2">
      <w:start w:val="1"/>
      <w:numFmt w:val="bullet"/>
      <w:lvlText w:val=""/>
      <w:lvlJc w:val="left"/>
      <w:pPr>
        <w:ind w:left="720" w:hanging="360"/>
      </w:pPr>
      <w:rPr>
        <w:rFonts w:ascii="Symbol" w:hAnsi="Symbol" w:hint="default"/>
      </w:rPr>
    </w:lvl>
    <w:lvl w:ilvl="1" w:tplc="F9303FF6">
      <w:start w:val="1"/>
      <w:numFmt w:val="lowerLetter"/>
      <w:lvlText w:val="%2."/>
      <w:lvlJc w:val="left"/>
      <w:pPr>
        <w:ind w:left="1440" w:hanging="360"/>
      </w:pPr>
    </w:lvl>
    <w:lvl w:ilvl="2" w:tplc="0F3A8394">
      <w:start w:val="1"/>
      <w:numFmt w:val="lowerRoman"/>
      <w:lvlText w:val="%3."/>
      <w:lvlJc w:val="right"/>
      <w:pPr>
        <w:ind w:left="2160" w:hanging="180"/>
      </w:pPr>
    </w:lvl>
    <w:lvl w:ilvl="3" w:tplc="47C0FF16">
      <w:start w:val="1"/>
      <w:numFmt w:val="decimal"/>
      <w:lvlText w:val="%4."/>
      <w:lvlJc w:val="left"/>
      <w:pPr>
        <w:ind w:left="2880" w:hanging="360"/>
      </w:pPr>
    </w:lvl>
    <w:lvl w:ilvl="4" w:tplc="9E222B6A">
      <w:start w:val="1"/>
      <w:numFmt w:val="lowerLetter"/>
      <w:lvlText w:val="%5."/>
      <w:lvlJc w:val="left"/>
      <w:pPr>
        <w:ind w:left="3600" w:hanging="360"/>
      </w:pPr>
    </w:lvl>
    <w:lvl w:ilvl="5" w:tplc="E4FC5C72">
      <w:start w:val="1"/>
      <w:numFmt w:val="lowerRoman"/>
      <w:lvlText w:val="%6."/>
      <w:lvlJc w:val="right"/>
      <w:pPr>
        <w:ind w:left="4320" w:hanging="180"/>
      </w:pPr>
    </w:lvl>
    <w:lvl w:ilvl="6" w:tplc="D9A29368">
      <w:start w:val="1"/>
      <w:numFmt w:val="decimal"/>
      <w:lvlText w:val="%7."/>
      <w:lvlJc w:val="left"/>
      <w:pPr>
        <w:ind w:left="5040" w:hanging="360"/>
      </w:pPr>
    </w:lvl>
    <w:lvl w:ilvl="7" w:tplc="7D34D778">
      <w:start w:val="1"/>
      <w:numFmt w:val="lowerLetter"/>
      <w:lvlText w:val="%8."/>
      <w:lvlJc w:val="left"/>
      <w:pPr>
        <w:ind w:left="5760" w:hanging="360"/>
      </w:pPr>
    </w:lvl>
    <w:lvl w:ilvl="8" w:tplc="D3747F38">
      <w:start w:val="1"/>
      <w:numFmt w:val="lowerRoman"/>
      <w:lvlText w:val="%9."/>
      <w:lvlJc w:val="right"/>
      <w:pPr>
        <w:ind w:left="6480" w:hanging="180"/>
      </w:pPr>
    </w:lvl>
  </w:abstractNum>
  <w:abstractNum w:abstractNumId="9">
    <w:nsid w:val="424B67C0"/>
    <w:multiLevelType w:val="hybridMultilevel"/>
    <w:tmpl w:val="E7AAF2BA"/>
    <w:lvl w:ilvl="0" w:tplc="86C8074C">
      <w:start w:val="1"/>
      <w:numFmt w:val="bullet"/>
      <w:lvlText w:val=""/>
      <w:lvlJc w:val="left"/>
      <w:pPr>
        <w:ind w:left="720" w:hanging="360"/>
      </w:pPr>
      <w:rPr>
        <w:rFonts w:ascii="Symbol" w:hAnsi="Symbol" w:hint="default"/>
      </w:rPr>
    </w:lvl>
    <w:lvl w:ilvl="1" w:tplc="2806DD56">
      <w:start w:val="1"/>
      <w:numFmt w:val="bullet"/>
      <w:lvlText w:val="o"/>
      <w:lvlJc w:val="left"/>
      <w:pPr>
        <w:ind w:left="1440" w:hanging="360"/>
      </w:pPr>
      <w:rPr>
        <w:rFonts w:ascii="Courier New" w:hAnsi="Courier New" w:hint="default"/>
      </w:rPr>
    </w:lvl>
    <w:lvl w:ilvl="2" w:tplc="CC62642C">
      <w:start w:val="1"/>
      <w:numFmt w:val="bullet"/>
      <w:lvlText w:val=""/>
      <w:lvlJc w:val="left"/>
      <w:pPr>
        <w:ind w:left="2160" w:hanging="360"/>
      </w:pPr>
      <w:rPr>
        <w:rFonts w:ascii="Wingdings" w:hAnsi="Wingdings" w:hint="default"/>
      </w:rPr>
    </w:lvl>
    <w:lvl w:ilvl="3" w:tplc="759EA102">
      <w:start w:val="1"/>
      <w:numFmt w:val="bullet"/>
      <w:lvlText w:val=""/>
      <w:lvlJc w:val="left"/>
      <w:pPr>
        <w:ind w:left="2880" w:hanging="360"/>
      </w:pPr>
      <w:rPr>
        <w:rFonts w:ascii="Symbol" w:hAnsi="Symbol" w:hint="default"/>
      </w:rPr>
    </w:lvl>
    <w:lvl w:ilvl="4" w:tplc="4F341364">
      <w:start w:val="1"/>
      <w:numFmt w:val="bullet"/>
      <w:lvlText w:val="o"/>
      <w:lvlJc w:val="left"/>
      <w:pPr>
        <w:ind w:left="3600" w:hanging="360"/>
      </w:pPr>
      <w:rPr>
        <w:rFonts w:ascii="Courier New" w:hAnsi="Courier New" w:hint="default"/>
      </w:rPr>
    </w:lvl>
    <w:lvl w:ilvl="5" w:tplc="2B060EC4">
      <w:start w:val="1"/>
      <w:numFmt w:val="bullet"/>
      <w:lvlText w:val=""/>
      <w:lvlJc w:val="left"/>
      <w:pPr>
        <w:ind w:left="4320" w:hanging="360"/>
      </w:pPr>
      <w:rPr>
        <w:rFonts w:ascii="Wingdings" w:hAnsi="Wingdings" w:hint="default"/>
      </w:rPr>
    </w:lvl>
    <w:lvl w:ilvl="6" w:tplc="CB647066">
      <w:start w:val="1"/>
      <w:numFmt w:val="bullet"/>
      <w:lvlText w:val=""/>
      <w:lvlJc w:val="left"/>
      <w:pPr>
        <w:ind w:left="5040" w:hanging="360"/>
      </w:pPr>
      <w:rPr>
        <w:rFonts w:ascii="Symbol" w:hAnsi="Symbol" w:hint="default"/>
      </w:rPr>
    </w:lvl>
    <w:lvl w:ilvl="7" w:tplc="5320498C">
      <w:start w:val="1"/>
      <w:numFmt w:val="bullet"/>
      <w:lvlText w:val="o"/>
      <w:lvlJc w:val="left"/>
      <w:pPr>
        <w:ind w:left="5760" w:hanging="360"/>
      </w:pPr>
      <w:rPr>
        <w:rFonts w:ascii="Courier New" w:hAnsi="Courier New" w:hint="default"/>
      </w:rPr>
    </w:lvl>
    <w:lvl w:ilvl="8" w:tplc="DDA0CADC">
      <w:start w:val="1"/>
      <w:numFmt w:val="bullet"/>
      <w:lvlText w:val=""/>
      <w:lvlJc w:val="left"/>
      <w:pPr>
        <w:ind w:left="6480" w:hanging="360"/>
      </w:pPr>
      <w:rPr>
        <w:rFonts w:ascii="Wingdings" w:hAnsi="Wingdings" w:hint="default"/>
      </w:rPr>
    </w:lvl>
  </w:abstractNum>
  <w:abstractNum w:abstractNumId="10">
    <w:nsid w:val="4C9243B0"/>
    <w:multiLevelType w:val="hybridMultilevel"/>
    <w:tmpl w:val="0D42DF68"/>
    <w:lvl w:ilvl="0" w:tplc="2AC2AB36">
      <w:start w:val="1"/>
      <w:numFmt w:val="decimal"/>
      <w:lvlText w:val="%1."/>
      <w:lvlJc w:val="left"/>
      <w:pPr>
        <w:ind w:left="720" w:hanging="360"/>
      </w:pPr>
    </w:lvl>
    <w:lvl w:ilvl="1" w:tplc="D0665348">
      <w:start w:val="1"/>
      <w:numFmt w:val="lowerLetter"/>
      <w:lvlText w:val="%2."/>
      <w:lvlJc w:val="left"/>
      <w:pPr>
        <w:ind w:left="1440" w:hanging="360"/>
      </w:pPr>
    </w:lvl>
    <w:lvl w:ilvl="2" w:tplc="5F580972">
      <w:start w:val="1"/>
      <w:numFmt w:val="lowerRoman"/>
      <w:lvlText w:val="%3."/>
      <w:lvlJc w:val="right"/>
      <w:pPr>
        <w:ind w:left="2160" w:hanging="180"/>
      </w:pPr>
    </w:lvl>
    <w:lvl w:ilvl="3" w:tplc="AA88A672">
      <w:start w:val="1"/>
      <w:numFmt w:val="decimal"/>
      <w:lvlText w:val="%4."/>
      <w:lvlJc w:val="left"/>
      <w:pPr>
        <w:ind w:left="2880" w:hanging="360"/>
      </w:pPr>
    </w:lvl>
    <w:lvl w:ilvl="4" w:tplc="08308AB6">
      <w:start w:val="1"/>
      <w:numFmt w:val="lowerLetter"/>
      <w:lvlText w:val="%5."/>
      <w:lvlJc w:val="left"/>
      <w:pPr>
        <w:ind w:left="3600" w:hanging="360"/>
      </w:pPr>
    </w:lvl>
    <w:lvl w:ilvl="5" w:tplc="D4741EFC">
      <w:start w:val="1"/>
      <w:numFmt w:val="lowerRoman"/>
      <w:lvlText w:val="%6."/>
      <w:lvlJc w:val="right"/>
      <w:pPr>
        <w:ind w:left="4320" w:hanging="180"/>
      </w:pPr>
    </w:lvl>
    <w:lvl w:ilvl="6" w:tplc="01321724">
      <w:start w:val="1"/>
      <w:numFmt w:val="decimal"/>
      <w:lvlText w:val="%7."/>
      <w:lvlJc w:val="left"/>
      <w:pPr>
        <w:ind w:left="5040" w:hanging="360"/>
      </w:pPr>
    </w:lvl>
    <w:lvl w:ilvl="7" w:tplc="174E6198">
      <w:start w:val="1"/>
      <w:numFmt w:val="lowerLetter"/>
      <w:lvlText w:val="%8."/>
      <w:lvlJc w:val="left"/>
      <w:pPr>
        <w:ind w:left="5760" w:hanging="360"/>
      </w:pPr>
    </w:lvl>
    <w:lvl w:ilvl="8" w:tplc="7AB4AA2C">
      <w:start w:val="1"/>
      <w:numFmt w:val="lowerRoman"/>
      <w:lvlText w:val="%9."/>
      <w:lvlJc w:val="right"/>
      <w:pPr>
        <w:ind w:left="6480" w:hanging="180"/>
      </w:pPr>
    </w:lvl>
  </w:abstractNum>
  <w:abstractNum w:abstractNumId="11">
    <w:nsid w:val="4E380E76"/>
    <w:multiLevelType w:val="hybridMultilevel"/>
    <w:tmpl w:val="D336539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2">
    <w:nsid w:val="4FD72F58"/>
    <w:multiLevelType w:val="hybridMultilevel"/>
    <w:tmpl w:val="11A2C9FE"/>
    <w:lvl w:ilvl="0" w:tplc="C8FCE344">
      <w:start w:val="1"/>
      <w:numFmt w:val="decimal"/>
      <w:lvlText w:val="%1."/>
      <w:lvlJc w:val="left"/>
      <w:pPr>
        <w:ind w:left="720" w:hanging="360"/>
      </w:pPr>
    </w:lvl>
    <w:lvl w:ilvl="1" w:tplc="30F8E204">
      <w:start w:val="1"/>
      <w:numFmt w:val="lowerLetter"/>
      <w:lvlText w:val="%2."/>
      <w:lvlJc w:val="left"/>
      <w:pPr>
        <w:ind w:left="1440" w:hanging="360"/>
      </w:pPr>
    </w:lvl>
    <w:lvl w:ilvl="2" w:tplc="48D6CDBE">
      <w:start w:val="1"/>
      <w:numFmt w:val="lowerRoman"/>
      <w:lvlText w:val="%3."/>
      <w:lvlJc w:val="right"/>
      <w:pPr>
        <w:ind w:left="2160" w:hanging="180"/>
      </w:pPr>
    </w:lvl>
    <w:lvl w:ilvl="3" w:tplc="A5AC648E">
      <w:start w:val="1"/>
      <w:numFmt w:val="decimal"/>
      <w:lvlText w:val="%4."/>
      <w:lvlJc w:val="left"/>
      <w:pPr>
        <w:ind w:left="2880" w:hanging="360"/>
      </w:pPr>
    </w:lvl>
    <w:lvl w:ilvl="4" w:tplc="36B42478">
      <w:start w:val="1"/>
      <w:numFmt w:val="lowerLetter"/>
      <w:lvlText w:val="%5."/>
      <w:lvlJc w:val="left"/>
      <w:pPr>
        <w:ind w:left="3600" w:hanging="360"/>
      </w:pPr>
    </w:lvl>
    <w:lvl w:ilvl="5" w:tplc="654A1C62">
      <w:start w:val="1"/>
      <w:numFmt w:val="lowerRoman"/>
      <w:lvlText w:val="%6."/>
      <w:lvlJc w:val="right"/>
      <w:pPr>
        <w:ind w:left="4320" w:hanging="180"/>
      </w:pPr>
    </w:lvl>
    <w:lvl w:ilvl="6" w:tplc="41F484B2">
      <w:start w:val="1"/>
      <w:numFmt w:val="decimal"/>
      <w:lvlText w:val="%7."/>
      <w:lvlJc w:val="left"/>
      <w:pPr>
        <w:ind w:left="5040" w:hanging="360"/>
      </w:pPr>
    </w:lvl>
    <w:lvl w:ilvl="7" w:tplc="49CA6274">
      <w:start w:val="1"/>
      <w:numFmt w:val="lowerLetter"/>
      <w:lvlText w:val="%8."/>
      <w:lvlJc w:val="left"/>
      <w:pPr>
        <w:ind w:left="5760" w:hanging="360"/>
      </w:pPr>
    </w:lvl>
    <w:lvl w:ilvl="8" w:tplc="68527AE8">
      <w:start w:val="1"/>
      <w:numFmt w:val="lowerRoman"/>
      <w:lvlText w:val="%9."/>
      <w:lvlJc w:val="right"/>
      <w:pPr>
        <w:ind w:left="6480" w:hanging="180"/>
      </w:pPr>
    </w:lvl>
  </w:abstractNum>
  <w:abstractNum w:abstractNumId="13">
    <w:nsid w:val="63310E27"/>
    <w:multiLevelType w:val="hybridMultilevel"/>
    <w:tmpl w:val="5A54D0C8"/>
    <w:lvl w:ilvl="0" w:tplc="342C0C84">
      <w:start w:val="1"/>
      <w:numFmt w:val="decimal"/>
      <w:lvlText w:val="%1."/>
      <w:lvlJc w:val="left"/>
      <w:pPr>
        <w:ind w:left="720" w:hanging="360"/>
      </w:pPr>
    </w:lvl>
    <w:lvl w:ilvl="1" w:tplc="91480B36">
      <w:start w:val="1"/>
      <w:numFmt w:val="lowerLetter"/>
      <w:lvlText w:val="%2."/>
      <w:lvlJc w:val="left"/>
      <w:pPr>
        <w:ind w:left="1440" w:hanging="360"/>
      </w:pPr>
    </w:lvl>
    <w:lvl w:ilvl="2" w:tplc="64C2FCA6">
      <w:start w:val="1"/>
      <w:numFmt w:val="lowerRoman"/>
      <w:lvlText w:val="%3."/>
      <w:lvlJc w:val="right"/>
      <w:pPr>
        <w:ind w:left="2160" w:hanging="180"/>
      </w:pPr>
    </w:lvl>
    <w:lvl w:ilvl="3" w:tplc="FD9E527C">
      <w:start w:val="1"/>
      <w:numFmt w:val="decimal"/>
      <w:lvlText w:val="%4."/>
      <w:lvlJc w:val="left"/>
      <w:pPr>
        <w:ind w:left="2880" w:hanging="360"/>
      </w:pPr>
    </w:lvl>
    <w:lvl w:ilvl="4" w:tplc="E034DC1E">
      <w:start w:val="1"/>
      <w:numFmt w:val="lowerLetter"/>
      <w:lvlText w:val="%5."/>
      <w:lvlJc w:val="left"/>
      <w:pPr>
        <w:ind w:left="3600" w:hanging="360"/>
      </w:pPr>
    </w:lvl>
    <w:lvl w:ilvl="5" w:tplc="FD8457E6">
      <w:start w:val="1"/>
      <w:numFmt w:val="lowerRoman"/>
      <w:lvlText w:val="%6."/>
      <w:lvlJc w:val="right"/>
      <w:pPr>
        <w:ind w:left="4320" w:hanging="180"/>
      </w:pPr>
    </w:lvl>
    <w:lvl w:ilvl="6" w:tplc="AF4EC844">
      <w:start w:val="1"/>
      <w:numFmt w:val="decimal"/>
      <w:lvlText w:val="%7."/>
      <w:lvlJc w:val="left"/>
      <w:pPr>
        <w:ind w:left="5040" w:hanging="360"/>
      </w:pPr>
    </w:lvl>
    <w:lvl w:ilvl="7" w:tplc="80E2D79E">
      <w:start w:val="1"/>
      <w:numFmt w:val="lowerLetter"/>
      <w:lvlText w:val="%8."/>
      <w:lvlJc w:val="left"/>
      <w:pPr>
        <w:ind w:left="5760" w:hanging="360"/>
      </w:pPr>
    </w:lvl>
    <w:lvl w:ilvl="8" w:tplc="670A48D2">
      <w:start w:val="1"/>
      <w:numFmt w:val="lowerRoman"/>
      <w:lvlText w:val="%9."/>
      <w:lvlJc w:val="right"/>
      <w:pPr>
        <w:ind w:left="6480" w:hanging="180"/>
      </w:pPr>
    </w:lvl>
  </w:abstractNum>
  <w:abstractNum w:abstractNumId="14">
    <w:nsid w:val="6F2D5E04"/>
    <w:multiLevelType w:val="hybridMultilevel"/>
    <w:tmpl w:val="FE409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184530"/>
    <w:multiLevelType w:val="hybridMultilevel"/>
    <w:tmpl w:val="FC701516"/>
    <w:lvl w:ilvl="0" w:tplc="2D9CFDBE">
      <w:start w:val="1"/>
      <w:numFmt w:val="bullet"/>
      <w:lvlText w:val=""/>
      <w:lvlJc w:val="left"/>
      <w:pPr>
        <w:ind w:left="720" w:hanging="360"/>
      </w:pPr>
      <w:rPr>
        <w:rFonts w:ascii="Symbol" w:hAnsi="Symbol" w:hint="default"/>
      </w:rPr>
    </w:lvl>
    <w:lvl w:ilvl="1" w:tplc="138C5B9A">
      <w:start w:val="1"/>
      <w:numFmt w:val="lowerLetter"/>
      <w:lvlText w:val="%2."/>
      <w:lvlJc w:val="left"/>
      <w:pPr>
        <w:ind w:left="1440" w:hanging="360"/>
      </w:pPr>
    </w:lvl>
    <w:lvl w:ilvl="2" w:tplc="AAF030BE">
      <w:start w:val="1"/>
      <w:numFmt w:val="lowerRoman"/>
      <w:lvlText w:val="%3."/>
      <w:lvlJc w:val="right"/>
      <w:pPr>
        <w:ind w:left="2160" w:hanging="180"/>
      </w:pPr>
    </w:lvl>
    <w:lvl w:ilvl="3" w:tplc="4FA6F9EC">
      <w:start w:val="1"/>
      <w:numFmt w:val="decimal"/>
      <w:lvlText w:val="%4."/>
      <w:lvlJc w:val="left"/>
      <w:pPr>
        <w:ind w:left="2880" w:hanging="360"/>
      </w:pPr>
    </w:lvl>
    <w:lvl w:ilvl="4" w:tplc="7B1A0CA2">
      <w:start w:val="1"/>
      <w:numFmt w:val="lowerLetter"/>
      <w:lvlText w:val="%5."/>
      <w:lvlJc w:val="left"/>
      <w:pPr>
        <w:ind w:left="3600" w:hanging="360"/>
      </w:pPr>
    </w:lvl>
    <w:lvl w:ilvl="5" w:tplc="0680B0D0">
      <w:start w:val="1"/>
      <w:numFmt w:val="lowerRoman"/>
      <w:lvlText w:val="%6."/>
      <w:lvlJc w:val="right"/>
      <w:pPr>
        <w:ind w:left="4320" w:hanging="180"/>
      </w:pPr>
    </w:lvl>
    <w:lvl w:ilvl="6" w:tplc="9ECC8A8E">
      <w:start w:val="1"/>
      <w:numFmt w:val="decimal"/>
      <w:lvlText w:val="%7."/>
      <w:lvlJc w:val="left"/>
      <w:pPr>
        <w:ind w:left="5040" w:hanging="360"/>
      </w:pPr>
    </w:lvl>
    <w:lvl w:ilvl="7" w:tplc="FF7839D8">
      <w:start w:val="1"/>
      <w:numFmt w:val="lowerLetter"/>
      <w:lvlText w:val="%8."/>
      <w:lvlJc w:val="left"/>
      <w:pPr>
        <w:ind w:left="5760" w:hanging="360"/>
      </w:pPr>
    </w:lvl>
    <w:lvl w:ilvl="8" w:tplc="8D72F78C">
      <w:start w:val="1"/>
      <w:numFmt w:val="lowerRoman"/>
      <w:lvlText w:val="%9."/>
      <w:lvlJc w:val="right"/>
      <w:pPr>
        <w:ind w:left="6480" w:hanging="180"/>
      </w:pPr>
    </w:lvl>
  </w:abstractNum>
  <w:num w:numId="1">
    <w:abstractNumId w:val="7"/>
  </w:num>
  <w:num w:numId="2">
    <w:abstractNumId w:val="9"/>
  </w:num>
  <w:num w:numId="3">
    <w:abstractNumId w:val="1"/>
  </w:num>
  <w:num w:numId="4">
    <w:abstractNumId w:val="15"/>
  </w:num>
  <w:num w:numId="5">
    <w:abstractNumId w:val="8"/>
  </w:num>
  <w:num w:numId="6">
    <w:abstractNumId w:val="2"/>
  </w:num>
  <w:num w:numId="7">
    <w:abstractNumId w:val="12"/>
  </w:num>
  <w:num w:numId="8">
    <w:abstractNumId w:val="10"/>
  </w:num>
  <w:num w:numId="9">
    <w:abstractNumId w:val="13"/>
  </w:num>
  <w:num w:numId="10">
    <w:abstractNumId w:val="6"/>
  </w:num>
  <w:num w:numId="11">
    <w:abstractNumId w:val="14"/>
  </w:num>
  <w:num w:numId="12">
    <w:abstractNumId w:val="3"/>
  </w:num>
  <w:num w:numId="13">
    <w:abstractNumId w:val="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F8"/>
    <w:rsid w:val="0001631D"/>
    <w:rsid w:val="0003208F"/>
    <w:rsid w:val="0003633E"/>
    <w:rsid w:val="00037050"/>
    <w:rsid w:val="0006545F"/>
    <w:rsid w:val="000C5653"/>
    <w:rsid w:val="000D2045"/>
    <w:rsid w:val="000D2188"/>
    <w:rsid w:val="00100361"/>
    <w:rsid w:val="00114EF3"/>
    <w:rsid w:val="00124B0D"/>
    <w:rsid w:val="0019004C"/>
    <w:rsid w:val="001B77DA"/>
    <w:rsid w:val="001C7616"/>
    <w:rsid w:val="002120CB"/>
    <w:rsid w:val="00213C63"/>
    <w:rsid w:val="002612B2"/>
    <w:rsid w:val="002702D4"/>
    <w:rsid w:val="002723D7"/>
    <w:rsid w:val="00280A0A"/>
    <w:rsid w:val="002909BE"/>
    <w:rsid w:val="00330DF8"/>
    <w:rsid w:val="00347E3B"/>
    <w:rsid w:val="003750E2"/>
    <w:rsid w:val="00416169"/>
    <w:rsid w:val="00435B1F"/>
    <w:rsid w:val="004912F0"/>
    <w:rsid w:val="004A56E5"/>
    <w:rsid w:val="005057F1"/>
    <w:rsid w:val="00521D27"/>
    <w:rsid w:val="00527384"/>
    <w:rsid w:val="00536247"/>
    <w:rsid w:val="005837F1"/>
    <w:rsid w:val="00586D37"/>
    <w:rsid w:val="005A222C"/>
    <w:rsid w:val="00613DB4"/>
    <w:rsid w:val="006606DC"/>
    <w:rsid w:val="00685B46"/>
    <w:rsid w:val="006873FA"/>
    <w:rsid w:val="006B6F61"/>
    <w:rsid w:val="006C211F"/>
    <w:rsid w:val="00702A43"/>
    <w:rsid w:val="00710948"/>
    <w:rsid w:val="00764DC9"/>
    <w:rsid w:val="00784460"/>
    <w:rsid w:val="007A6C88"/>
    <w:rsid w:val="007C0A27"/>
    <w:rsid w:val="007F265A"/>
    <w:rsid w:val="0082102C"/>
    <w:rsid w:val="0083575C"/>
    <w:rsid w:val="00835A09"/>
    <w:rsid w:val="0085684E"/>
    <w:rsid w:val="00881D90"/>
    <w:rsid w:val="00884BFA"/>
    <w:rsid w:val="00885196"/>
    <w:rsid w:val="008A19B6"/>
    <w:rsid w:val="008D2B47"/>
    <w:rsid w:val="00914952"/>
    <w:rsid w:val="00917ADD"/>
    <w:rsid w:val="00922E3C"/>
    <w:rsid w:val="009671B2"/>
    <w:rsid w:val="00991875"/>
    <w:rsid w:val="009D7EED"/>
    <w:rsid w:val="00A06B4D"/>
    <w:rsid w:val="00A35CDF"/>
    <w:rsid w:val="00A40531"/>
    <w:rsid w:val="00AB11AC"/>
    <w:rsid w:val="00BE29C7"/>
    <w:rsid w:val="00C62ABA"/>
    <w:rsid w:val="00C73DA4"/>
    <w:rsid w:val="00C80E3E"/>
    <w:rsid w:val="00CA6AF9"/>
    <w:rsid w:val="00CC369A"/>
    <w:rsid w:val="00D20691"/>
    <w:rsid w:val="00D2271C"/>
    <w:rsid w:val="00D34029"/>
    <w:rsid w:val="00D4050A"/>
    <w:rsid w:val="00DC2511"/>
    <w:rsid w:val="00DC3361"/>
    <w:rsid w:val="00E957EA"/>
    <w:rsid w:val="00F05126"/>
    <w:rsid w:val="00F3307F"/>
    <w:rsid w:val="00F769DC"/>
    <w:rsid w:val="00FE0E34"/>
    <w:rsid w:val="00FF50D2"/>
    <w:rsid w:val="00FF65DF"/>
    <w:rsid w:val="0C769939"/>
    <w:rsid w:val="1061BFC9"/>
    <w:rsid w:val="1453EF80"/>
    <w:rsid w:val="41098A56"/>
    <w:rsid w:val="41871DDF"/>
    <w:rsid w:val="48131838"/>
    <w:rsid w:val="4D3598DF"/>
    <w:rsid w:val="57F1FFA8"/>
    <w:rsid w:val="5B1D4796"/>
    <w:rsid w:val="683DD14D"/>
    <w:rsid w:val="71FA67A9"/>
    <w:rsid w:val="7E6ED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04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06DC"/>
    <w:pPr>
      <w:spacing w:after="0" w:line="240" w:lineRule="auto"/>
    </w:pPr>
  </w:style>
  <w:style w:type="paragraph" w:styleId="BalloonText">
    <w:name w:val="Balloon Text"/>
    <w:basedOn w:val="Normal"/>
    <w:link w:val="BalloonTextChar"/>
    <w:uiPriority w:val="99"/>
    <w:semiHidden/>
    <w:unhideWhenUsed/>
    <w:rsid w:val="00914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952"/>
    <w:rPr>
      <w:rFonts w:ascii="Tahoma" w:hAnsi="Tahoma" w:cs="Tahoma"/>
      <w:sz w:val="16"/>
      <w:szCs w:val="16"/>
    </w:rPr>
  </w:style>
  <w:style w:type="paragraph" w:styleId="Header">
    <w:name w:val="header"/>
    <w:basedOn w:val="Normal"/>
    <w:link w:val="HeaderChar"/>
    <w:uiPriority w:val="99"/>
    <w:unhideWhenUsed/>
    <w:rsid w:val="00914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52"/>
  </w:style>
  <w:style w:type="paragraph" w:styleId="Footer">
    <w:name w:val="footer"/>
    <w:basedOn w:val="Normal"/>
    <w:link w:val="FooterChar"/>
    <w:uiPriority w:val="99"/>
    <w:unhideWhenUsed/>
    <w:rsid w:val="00914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52"/>
  </w:style>
  <w:style w:type="character" w:styleId="CommentReference">
    <w:name w:val="annotation reference"/>
    <w:basedOn w:val="DefaultParagraphFont"/>
    <w:uiPriority w:val="99"/>
    <w:semiHidden/>
    <w:unhideWhenUsed/>
    <w:rsid w:val="00435B1F"/>
    <w:rPr>
      <w:sz w:val="18"/>
      <w:szCs w:val="18"/>
    </w:rPr>
  </w:style>
  <w:style w:type="paragraph" w:styleId="CommentText">
    <w:name w:val="annotation text"/>
    <w:basedOn w:val="Normal"/>
    <w:link w:val="CommentTextChar"/>
    <w:uiPriority w:val="99"/>
    <w:semiHidden/>
    <w:unhideWhenUsed/>
    <w:rsid w:val="00435B1F"/>
    <w:pPr>
      <w:spacing w:line="240" w:lineRule="auto"/>
    </w:pPr>
    <w:rPr>
      <w:sz w:val="24"/>
      <w:szCs w:val="24"/>
    </w:rPr>
  </w:style>
  <w:style w:type="character" w:customStyle="1" w:styleId="CommentTextChar">
    <w:name w:val="Comment Text Char"/>
    <w:basedOn w:val="DefaultParagraphFont"/>
    <w:link w:val="CommentText"/>
    <w:uiPriority w:val="99"/>
    <w:semiHidden/>
    <w:rsid w:val="00435B1F"/>
    <w:rPr>
      <w:sz w:val="24"/>
      <w:szCs w:val="24"/>
    </w:rPr>
  </w:style>
  <w:style w:type="paragraph" w:styleId="CommentSubject">
    <w:name w:val="annotation subject"/>
    <w:basedOn w:val="CommentText"/>
    <w:next w:val="CommentText"/>
    <w:link w:val="CommentSubjectChar"/>
    <w:uiPriority w:val="99"/>
    <w:semiHidden/>
    <w:unhideWhenUsed/>
    <w:rsid w:val="00435B1F"/>
    <w:rPr>
      <w:b/>
      <w:bCs/>
      <w:sz w:val="20"/>
      <w:szCs w:val="20"/>
    </w:rPr>
  </w:style>
  <w:style w:type="character" w:customStyle="1" w:styleId="CommentSubjectChar">
    <w:name w:val="Comment Subject Char"/>
    <w:basedOn w:val="CommentTextChar"/>
    <w:link w:val="CommentSubject"/>
    <w:uiPriority w:val="99"/>
    <w:semiHidden/>
    <w:rsid w:val="00435B1F"/>
    <w:rPr>
      <w:b/>
      <w:bCs/>
      <w:sz w:val="20"/>
      <w:szCs w:val="20"/>
    </w:rPr>
  </w:style>
  <w:style w:type="paragraph" w:styleId="Revision">
    <w:name w:val="Revision"/>
    <w:hidden/>
    <w:uiPriority w:val="99"/>
    <w:semiHidden/>
    <w:rsid w:val="00213C63"/>
    <w:pPr>
      <w:spacing w:after="0" w:line="240" w:lineRule="auto"/>
    </w:pPr>
  </w:style>
  <w:style w:type="paragraph" w:styleId="ListParagraph">
    <w:name w:val="List Paragraph"/>
    <w:basedOn w:val="Normal"/>
    <w:uiPriority w:val="34"/>
    <w:qFormat/>
    <w:rsid w:val="0083575C"/>
    <w:pPr>
      <w:ind w:left="720"/>
      <w:contextualSpacing/>
    </w:pPr>
  </w:style>
  <w:style w:type="character" w:styleId="Emphasis">
    <w:name w:val="Emphasis"/>
    <w:basedOn w:val="DefaultParagraphFont"/>
    <w:uiPriority w:val="20"/>
    <w:qFormat/>
    <w:rsid w:val="0083575C"/>
    <w:rPr>
      <w:i/>
      <w:iCs/>
    </w:rPr>
  </w:style>
  <w:style w:type="character" w:styleId="Hyperlink">
    <w:name w:val="Hyperlink"/>
    <w:basedOn w:val="DefaultParagraphFont"/>
    <w:uiPriority w:val="99"/>
    <w:unhideWhenUsed/>
    <w:rsid w:val="0083575C"/>
    <w:rPr>
      <w:color w:val="0000FF" w:themeColor="hyperlink"/>
      <w:u w:val="single"/>
    </w:rPr>
  </w:style>
  <w:style w:type="character" w:styleId="FollowedHyperlink">
    <w:name w:val="FollowedHyperlink"/>
    <w:basedOn w:val="DefaultParagraphFont"/>
    <w:uiPriority w:val="99"/>
    <w:semiHidden/>
    <w:unhideWhenUsed/>
    <w:rsid w:val="0083575C"/>
    <w:rPr>
      <w:color w:val="800080" w:themeColor="followedHyperlink"/>
      <w:u w:val="single"/>
    </w:rPr>
  </w:style>
  <w:style w:type="character" w:styleId="PageNumber">
    <w:name w:val="page number"/>
    <w:basedOn w:val="DefaultParagraphFont"/>
    <w:uiPriority w:val="99"/>
    <w:semiHidden/>
    <w:unhideWhenUsed/>
    <w:rsid w:val="00CA6AF9"/>
  </w:style>
  <w:style w:type="character" w:customStyle="1" w:styleId="body">
    <w:name w:val="body"/>
    <w:basedOn w:val="DefaultParagraphFont"/>
    <w:rsid w:val="00917A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06DC"/>
    <w:pPr>
      <w:spacing w:after="0" w:line="240" w:lineRule="auto"/>
    </w:pPr>
  </w:style>
  <w:style w:type="paragraph" w:styleId="BalloonText">
    <w:name w:val="Balloon Text"/>
    <w:basedOn w:val="Normal"/>
    <w:link w:val="BalloonTextChar"/>
    <w:uiPriority w:val="99"/>
    <w:semiHidden/>
    <w:unhideWhenUsed/>
    <w:rsid w:val="00914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952"/>
    <w:rPr>
      <w:rFonts w:ascii="Tahoma" w:hAnsi="Tahoma" w:cs="Tahoma"/>
      <w:sz w:val="16"/>
      <w:szCs w:val="16"/>
    </w:rPr>
  </w:style>
  <w:style w:type="paragraph" w:styleId="Header">
    <w:name w:val="header"/>
    <w:basedOn w:val="Normal"/>
    <w:link w:val="HeaderChar"/>
    <w:uiPriority w:val="99"/>
    <w:unhideWhenUsed/>
    <w:rsid w:val="00914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52"/>
  </w:style>
  <w:style w:type="paragraph" w:styleId="Footer">
    <w:name w:val="footer"/>
    <w:basedOn w:val="Normal"/>
    <w:link w:val="FooterChar"/>
    <w:uiPriority w:val="99"/>
    <w:unhideWhenUsed/>
    <w:rsid w:val="00914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52"/>
  </w:style>
  <w:style w:type="character" w:styleId="CommentReference">
    <w:name w:val="annotation reference"/>
    <w:basedOn w:val="DefaultParagraphFont"/>
    <w:uiPriority w:val="99"/>
    <w:semiHidden/>
    <w:unhideWhenUsed/>
    <w:rsid w:val="00435B1F"/>
    <w:rPr>
      <w:sz w:val="18"/>
      <w:szCs w:val="18"/>
    </w:rPr>
  </w:style>
  <w:style w:type="paragraph" w:styleId="CommentText">
    <w:name w:val="annotation text"/>
    <w:basedOn w:val="Normal"/>
    <w:link w:val="CommentTextChar"/>
    <w:uiPriority w:val="99"/>
    <w:semiHidden/>
    <w:unhideWhenUsed/>
    <w:rsid w:val="00435B1F"/>
    <w:pPr>
      <w:spacing w:line="240" w:lineRule="auto"/>
    </w:pPr>
    <w:rPr>
      <w:sz w:val="24"/>
      <w:szCs w:val="24"/>
    </w:rPr>
  </w:style>
  <w:style w:type="character" w:customStyle="1" w:styleId="CommentTextChar">
    <w:name w:val="Comment Text Char"/>
    <w:basedOn w:val="DefaultParagraphFont"/>
    <w:link w:val="CommentText"/>
    <w:uiPriority w:val="99"/>
    <w:semiHidden/>
    <w:rsid w:val="00435B1F"/>
    <w:rPr>
      <w:sz w:val="24"/>
      <w:szCs w:val="24"/>
    </w:rPr>
  </w:style>
  <w:style w:type="paragraph" w:styleId="CommentSubject">
    <w:name w:val="annotation subject"/>
    <w:basedOn w:val="CommentText"/>
    <w:next w:val="CommentText"/>
    <w:link w:val="CommentSubjectChar"/>
    <w:uiPriority w:val="99"/>
    <w:semiHidden/>
    <w:unhideWhenUsed/>
    <w:rsid w:val="00435B1F"/>
    <w:rPr>
      <w:b/>
      <w:bCs/>
      <w:sz w:val="20"/>
      <w:szCs w:val="20"/>
    </w:rPr>
  </w:style>
  <w:style w:type="character" w:customStyle="1" w:styleId="CommentSubjectChar">
    <w:name w:val="Comment Subject Char"/>
    <w:basedOn w:val="CommentTextChar"/>
    <w:link w:val="CommentSubject"/>
    <w:uiPriority w:val="99"/>
    <w:semiHidden/>
    <w:rsid w:val="00435B1F"/>
    <w:rPr>
      <w:b/>
      <w:bCs/>
      <w:sz w:val="20"/>
      <w:szCs w:val="20"/>
    </w:rPr>
  </w:style>
  <w:style w:type="paragraph" w:styleId="Revision">
    <w:name w:val="Revision"/>
    <w:hidden/>
    <w:uiPriority w:val="99"/>
    <w:semiHidden/>
    <w:rsid w:val="00213C63"/>
    <w:pPr>
      <w:spacing w:after="0" w:line="240" w:lineRule="auto"/>
    </w:pPr>
  </w:style>
  <w:style w:type="paragraph" w:styleId="ListParagraph">
    <w:name w:val="List Paragraph"/>
    <w:basedOn w:val="Normal"/>
    <w:uiPriority w:val="34"/>
    <w:qFormat/>
    <w:rsid w:val="0083575C"/>
    <w:pPr>
      <w:ind w:left="720"/>
      <w:contextualSpacing/>
    </w:pPr>
  </w:style>
  <w:style w:type="character" w:styleId="Emphasis">
    <w:name w:val="Emphasis"/>
    <w:basedOn w:val="DefaultParagraphFont"/>
    <w:uiPriority w:val="20"/>
    <w:qFormat/>
    <w:rsid w:val="0083575C"/>
    <w:rPr>
      <w:i/>
      <w:iCs/>
    </w:rPr>
  </w:style>
  <w:style w:type="character" w:styleId="Hyperlink">
    <w:name w:val="Hyperlink"/>
    <w:basedOn w:val="DefaultParagraphFont"/>
    <w:uiPriority w:val="99"/>
    <w:unhideWhenUsed/>
    <w:rsid w:val="0083575C"/>
    <w:rPr>
      <w:color w:val="0000FF" w:themeColor="hyperlink"/>
      <w:u w:val="single"/>
    </w:rPr>
  </w:style>
  <w:style w:type="character" w:styleId="FollowedHyperlink">
    <w:name w:val="FollowedHyperlink"/>
    <w:basedOn w:val="DefaultParagraphFont"/>
    <w:uiPriority w:val="99"/>
    <w:semiHidden/>
    <w:unhideWhenUsed/>
    <w:rsid w:val="0083575C"/>
    <w:rPr>
      <w:color w:val="800080" w:themeColor="followedHyperlink"/>
      <w:u w:val="single"/>
    </w:rPr>
  </w:style>
  <w:style w:type="character" w:styleId="PageNumber">
    <w:name w:val="page number"/>
    <w:basedOn w:val="DefaultParagraphFont"/>
    <w:uiPriority w:val="99"/>
    <w:semiHidden/>
    <w:unhideWhenUsed/>
    <w:rsid w:val="00CA6AF9"/>
  </w:style>
  <w:style w:type="character" w:customStyle="1" w:styleId="body">
    <w:name w:val="body"/>
    <w:basedOn w:val="DefaultParagraphFont"/>
    <w:rsid w:val="00917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lobalchange.gov/health-assessment" TargetMode="External"/><Relationship Id="rId9" Type="http://schemas.openxmlformats.org/officeDocument/2006/relationships/hyperlink" Target="http://www.ncbi.nlm.nih.gov/books/NBK28462/pdf/TOC.pdf" TargetMode="External"/><Relationship Id="Re2a19607f580452d"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3154</Words>
  <Characters>17980</Characters>
  <Application>Microsoft Macintosh Word</Application>
  <DocSecurity>0</DocSecurity>
  <Lines>149</Lines>
  <Paragraphs>42</Paragraphs>
  <ScaleCrop>false</ScaleCrop>
  <Company>Microsoft</Company>
  <LinksUpToDate>false</LinksUpToDate>
  <CharactersWithSpaces>21092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Lipsky, David</dc:creator>
  <cp:lastModifiedBy>Erica Brown</cp:lastModifiedBy>
  <cp:revision>3</cp:revision>
  <cp:lastPrinted>2015-06-08T14:14:00Z</cp:lastPrinted>
  <dcterms:created xsi:type="dcterms:W3CDTF">2015-06-15T15:33:00Z</dcterms:created>
  <dcterms:modified xsi:type="dcterms:W3CDTF">2015-06-15T15:35:00Z</dcterms:modified>
</cp:coreProperties>
</file>